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862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862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9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Derstine Michael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ENACT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8325 SIX FORKS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Enact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ACT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Chief Risk Officer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9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RALEIGH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27615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33.4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33,771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(6)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w w:val="8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0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0"/>
              </w:rPr>
              <w:t>(5)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03/14/2025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-2790825</wp:posOffset>
            </wp:positionV>
            <wp:extent cx="29210" cy="2796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79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will settle into shares of Issuer common stock on a 1:1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2"/>
        <w:spacing w:after="0" w:line="256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Company withheld shares of common stock to satisfy the tax withholding obligation for the Reporting Person's Performance Stock Units resulting from a dividend with a record date of February 21, 2025 and a payment date of March 14, 2025.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will settle into shares of Issuer common stock on a 1:1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9, 2024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Additional restricted stock units acquired pursuant to reinvestment terms in the restricted stock unit award agreement resulting from a quarterly dividend at $0.185 per share, paid on March 14, 2025.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16, 2025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vest and convert to Common Stock in three equal annual installments beginning on February 21, 2026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Performance Stock Units resulting from a dividend with a record date of February 21, 2025 and a payment date of March 14, 2025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Joe Jacumin,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03/18/2025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5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9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8567" TargetMode="External"/><Relationship Id="rId14" Type="http://schemas.openxmlformats.org/officeDocument/2006/relationships/hyperlink" Target="http://www.sec.gov/cgi-bin/browse-edgar?action=getcompany&amp;CIK=00018235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2025-03-18T15:13:03Z</dcterms:created>
  <dcterms:modified xsi:type="dcterms:W3CDTF">2025-03-18T15:13:03Z</dcterms:modified>
</cp:coreProperties>
</file>