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Washington, D.C. 20549</w:t>
      </w:r>
    </w:p>
    <w:p>
      <w:pPr>
        <w:spacing w:after="0" w:line="70"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FORM 10-K</w:t>
      </w:r>
    </w:p>
    <w:p>
      <w:pPr>
        <w:spacing w:after="0" w:line="93" w:lineRule="exact"/>
        <w:rPr>
          <w:sz w:val="24"/>
          <w:szCs w:val="24"/>
          <w:color w:val="auto"/>
        </w:rPr>
      </w:pPr>
    </w:p>
    <w:p>
      <w:pPr>
        <w:ind w:left="140" w:hanging="138"/>
        <w:spacing w:after="0"/>
        <w:tabs>
          <w:tab w:leader="none" w:pos="14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1"/>
          <w:szCs w:val="11"/>
          <w:b w:val="1"/>
          <w:bCs w:val="1"/>
          <w:color w:val="auto"/>
        </w:rPr>
        <w:t>For the fiscal year ended December 31, 2021</w:t>
      </w:r>
    </w:p>
    <w:p>
      <w:pPr>
        <w:spacing w:after="0" w:line="26" w:lineRule="exact"/>
        <w:rPr>
          <w:sz w:val="24"/>
          <w:szCs w:val="24"/>
          <w:color w:val="auto"/>
        </w:rPr>
      </w:pPr>
    </w:p>
    <w:p>
      <w:pPr>
        <w:jc w:val="center"/>
        <w:ind w:right="60"/>
        <w:spacing w:after="0"/>
        <w:rPr>
          <w:sz w:val="20"/>
          <w:szCs w:val="20"/>
          <w:color w:val="auto"/>
        </w:rPr>
      </w:pPr>
      <w:r>
        <w:rPr>
          <w:rFonts w:ascii="Arial" w:cs="Arial" w:eastAsia="Arial" w:hAnsi="Arial"/>
          <w:sz w:val="11"/>
          <w:szCs w:val="11"/>
          <w:b w:val="1"/>
          <w:bCs w:val="1"/>
          <w:color w:val="auto"/>
        </w:rPr>
        <w:t>or</w:t>
      </w:r>
    </w:p>
    <w:p>
      <w:pPr>
        <w:spacing w:after="0" w:line="38" w:lineRule="exact"/>
        <w:rPr>
          <w:sz w:val="24"/>
          <w:szCs w:val="24"/>
          <w:color w:val="auto"/>
        </w:rPr>
      </w:pPr>
    </w:p>
    <w:p>
      <w:pPr>
        <w:ind w:left="140" w:hanging="138"/>
        <w:spacing w:after="0"/>
        <w:tabs>
          <w:tab w:leader="none" w:pos="140"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pacing w:after="0" w:line="9" w:lineRule="exact"/>
        <w:rPr>
          <w:sz w:val="24"/>
          <w:szCs w:val="24"/>
          <w:color w:val="auto"/>
        </w:rPr>
      </w:pPr>
    </w:p>
    <w:tbl>
      <w:tblPr>
        <w:tblLayout w:type="fixed"/>
        <w:tblInd w:w="820" w:type="dxa"/>
        <w:tblCellMar>
          <w:top w:w="0" w:type="dxa"/>
          <w:left w:w="0" w:type="dxa"/>
          <w:bottom w:w="0" w:type="dxa"/>
          <w:right w:w="0" w:type="dxa"/>
        </w:tblCellMar>
      </w:tblPr>
      <w:tr>
        <w:trPr>
          <w:trHeight w:val="143"/>
        </w:trPr>
        <w:tc>
          <w:tcPr>
            <w:tcW w:w="2680" w:type="dxa"/>
            <w:vAlign w:val="bottom"/>
          </w:tcPr>
          <w:p>
            <w:pPr>
              <w:spacing w:after="0"/>
              <w:rPr>
                <w:sz w:val="12"/>
                <w:szCs w:val="12"/>
                <w:color w:val="auto"/>
              </w:rPr>
            </w:pPr>
          </w:p>
        </w:tc>
        <w:tc>
          <w:tcPr>
            <w:tcW w:w="42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For the transition period from __________ to __________</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160" w:type="dxa"/>
            <w:vAlign w:val="bottom"/>
            <w:gridSpan w:val="2"/>
          </w:tcPr>
          <w:p>
            <w:pPr>
              <w:jc w:val="center"/>
              <w:ind w:right="1080"/>
              <w:spacing w:after="0"/>
              <w:rPr>
                <w:sz w:val="20"/>
                <w:szCs w:val="20"/>
                <w:color w:val="auto"/>
              </w:rPr>
            </w:pPr>
            <w:r>
              <w:rPr>
                <w:rFonts w:ascii="Arial" w:cs="Arial" w:eastAsia="Arial" w:hAnsi="Arial"/>
                <w:sz w:val="11"/>
                <w:szCs w:val="11"/>
                <w:b w:val="1"/>
                <w:bCs w:val="1"/>
                <w:color w:val="auto"/>
                <w:w w:val="99"/>
              </w:rPr>
              <w:t>Commission file number 001-40399</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6"/>
        </w:trPr>
        <w:tc>
          <w:tcPr>
            <w:tcW w:w="2680" w:type="dxa"/>
            <w:vAlign w:val="bottom"/>
          </w:tcPr>
          <w:p>
            <w:pPr>
              <w:spacing w:after="0"/>
              <w:rPr>
                <w:sz w:val="24"/>
                <w:szCs w:val="24"/>
                <w:color w:val="auto"/>
              </w:rPr>
            </w:pPr>
          </w:p>
        </w:tc>
        <w:tc>
          <w:tcPr>
            <w:tcW w:w="42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8"/>
              </w:rPr>
              <w:t>Enact Holdings, Inc.</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680" w:type="dxa"/>
            <w:vAlign w:val="bottom"/>
          </w:tcPr>
          <w:p>
            <w:pPr>
              <w:spacing w:after="0"/>
              <w:rPr>
                <w:sz w:val="12"/>
                <w:szCs w:val="12"/>
                <w:color w:val="auto"/>
              </w:rPr>
            </w:pPr>
          </w:p>
        </w:tc>
        <w:tc>
          <w:tcPr>
            <w:tcW w:w="42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(Exact name of registrant as specified in its charter)</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680" w:type="dxa"/>
            <w:vAlign w:val="bottom"/>
            <w:vMerge w:val="restart"/>
          </w:tcPr>
          <w:p>
            <w:pPr>
              <w:jc w:val="center"/>
              <w:ind w:right="531"/>
              <w:spacing w:after="0"/>
              <w:rPr>
                <w:sz w:val="20"/>
                <w:szCs w:val="20"/>
                <w:color w:val="auto"/>
              </w:rPr>
            </w:pPr>
            <w:r>
              <w:rPr>
                <w:rFonts w:ascii="Arial" w:cs="Arial" w:eastAsia="Arial" w:hAnsi="Arial"/>
                <w:sz w:val="10"/>
                <w:szCs w:val="10"/>
                <w:b w:val="1"/>
                <w:bCs w:val="1"/>
                <w:color w:val="auto"/>
                <w:w w:val="95"/>
              </w:rPr>
              <w:t>Delaware</w:t>
            </w:r>
          </w:p>
        </w:tc>
        <w:tc>
          <w:tcPr>
            <w:tcW w:w="110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2660" w:type="dxa"/>
            <w:vAlign w:val="bottom"/>
            <w:vMerge w:val="restart"/>
          </w:tcPr>
          <w:p>
            <w:pPr>
              <w:jc w:val="center"/>
              <w:ind w:left="571"/>
              <w:spacing w:after="0"/>
              <w:rPr>
                <w:sz w:val="20"/>
                <w:szCs w:val="20"/>
                <w:color w:val="auto"/>
              </w:rPr>
            </w:pPr>
            <w:r>
              <w:rPr>
                <w:rFonts w:ascii="Arial" w:cs="Arial" w:eastAsia="Arial" w:hAnsi="Arial"/>
                <w:sz w:val="10"/>
                <w:szCs w:val="10"/>
                <w:b w:val="1"/>
                <w:bCs w:val="1"/>
                <w:color w:val="auto"/>
                <w:w w:val="97"/>
              </w:rPr>
              <w:t>46-1579166</w:t>
            </w:r>
          </w:p>
        </w:tc>
        <w:tc>
          <w:tcPr>
            <w:tcW w:w="0" w:type="dxa"/>
            <w:vAlign w:val="bottom"/>
          </w:tcPr>
          <w:p>
            <w:pPr>
              <w:spacing w:after="0"/>
              <w:rPr>
                <w:sz w:val="1"/>
                <w:szCs w:val="1"/>
                <w:color w:val="auto"/>
              </w:rPr>
            </w:pPr>
          </w:p>
        </w:tc>
      </w:tr>
      <w:tr>
        <w:trPr>
          <w:trHeight w:val="203"/>
        </w:trPr>
        <w:tc>
          <w:tcPr>
            <w:tcW w:w="26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680" w:type="dxa"/>
            <w:vAlign w:val="bottom"/>
          </w:tcPr>
          <w:p>
            <w:pPr>
              <w:jc w:val="center"/>
              <w:ind w:right="511"/>
              <w:spacing w:after="0"/>
              <w:rPr>
                <w:sz w:val="20"/>
                <w:szCs w:val="20"/>
                <w:color w:val="auto"/>
              </w:rPr>
            </w:pPr>
            <w:r>
              <w:rPr>
                <w:rFonts w:ascii="Arial" w:cs="Arial" w:eastAsia="Arial" w:hAnsi="Arial"/>
                <w:sz w:val="10"/>
                <w:szCs w:val="10"/>
                <w:b w:val="1"/>
                <w:bCs w:val="1"/>
                <w:color w:val="auto"/>
                <w:w w:val="96"/>
              </w:rPr>
              <w:t>(State or other jurisdiction of</w:t>
            </w:r>
          </w:p>
        </w:tc>
        <w:tc>
          <w:tcPr>
            <w:tcW w:w="1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60" w:type="dxa"/>
            <w:vAlign w:val="bottom"/>
          </w:tcPr>
          <w:p>
            <w:pPr>
              <w:jc w:val="center"/>
              <w:ind w:left="591"/>
              <w:spacing w:after="0"/>
              <w:rPr>
                <w:sz w:val="20"/>
                <w:szCs w:val="20"/>
                <w:color w:val="auto"/>
              </w:rPr>
            </w:pPr>
            <w:r>
              <w:rPr>
                <w:rFonts w:ascii="Arial" w:cs="Arial" w:eastAsia="Arial" w:hAnsi="Arial"/>
                <w:sz w:val="10"/>
                <w:szCs w:val="10"/>
                <w:b w:val="1"/>
                <w:bCs w:val="1"/>
                <w:color w:val="auto"/>
                <w:w w:val="96"/>
              </w:rPr>
              <w:t>(I.R.S. Employer</w:t>
            </w:r>
          </w:p>
        </w:tc>
        <w:tc>
          <w:tcPr>
            <w:tcW w:w="0" w:type="dxa"/>
            <w:vAlign w:val="bottom"/>
          </w:tcPr>
          <w:p>
            <w:pPr>
              <w:spacing w:after="0"/>
              <w:rPr>
                <w:sz w:val="1"/>
                <w:szCs w:val="1"/>
                <w:color w:val="auto"/>
              </w:rPr>
            </w:pPr>
          </w:p>
        </w:tc>
      </w:tr>
      <w:tr>
        <w:trPr>
          <w:trHeight w:val="127"/>
        </w:trPr>
        <w:tc>
          <w:tcPr>
            <w:tcW w:w="2680" w:type="dxa"/>
            <w:vAlign w:val="bottom"/>
          </w:tcPr>
          <w:p>
            <w:pPr>
              <w:jc w:val="center"/>
              <w:ind w:right="511"/>
              <w:spacing w:after="0"/>
              <w:rPr>
                <w:sz w:val="20"/>
                <w:szCs w:val="20"/>
                <w:color w:val="auto"/>
              </w:rPr>
            </w:pPr>
            <w:r>
              <w:rPr>
                <w:rFonts w:ascii="Arial" w:cs="Arial" w:eastAsia="Arial" w:hAnsi="Arial"/>
                <w:sz w:val="10"/>
                <w:szCs w:val="10"/>
                <w:b w:val="1"/>
                <w:bCs w:val="1"/>
                <w:color w:val="auto"/>
                <w:w w:val="95"/>
              </w:rPr>
              <w:t>incorporation or organization)</w:t>
            </w:r>
          </w:p>
        </w:tc>
        <w:tc>
          <w:tcPr>
            <w:tcW w:w="1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60" w:type="dxa"/>
            <w:vAlign w:val="bottom"/>
          </w:tcPr>
          <w:p>
            <w:pPr>
              <w:jc w:val="center"/>
              <w:ind w:left="591"/>
              <w:spacing w:after="0"/>
              <w:rPr>
                <w:sz w:val="20"/>
                <w:szCs w:val="20"/>
                <w:color w:val="auto"/>
              </w:rPr>
            </w:pPr>
            <w:r>
              <w:rPr>
                <w:rFonts w:ascii="Arial" w:cs="Arial" w:eastAsia="Arial" w:hAnsi="Arial"/>
                <w:sz w:val="10"/>
                <w:szCs w:val="10"/>
                <w:b w:val="1"/>
                <w:bCs w:val="1"/>
                <w:color w:val="auto"/>
                <w:w w:val="96"/>
              </w:rPr>
              <w:t>Identification Number)</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60" w:type="dxa"/>
            <w:vAlign w:val="bottom"/>
            <w:gridSpan w:val="2"/>
          </w:tcPr>
          <w:p>
            <w:pPr>
              <w:jc w:val="center"/>
              <w:ind w:right="1060"/>
              <w:spacing w:after="0"/>
              <w:rPr>
                <w:sz w:val="20"/>
                <w:szCs w:val="20"/>
                <w:color w:val="auto"/>
              </w:rPr>
            </w:pPr>
            <w:r>
              <w:rPr>
                <w:rFonts w:ascii="Arial" w:cs="Arial" w:eastAsia="Arial" w:hAnsi="Arial"/>
                <w:sz w:val="10"/>
                <w:szCs w:val="10"/>
                <w:b w:val="1"/>
                <w:bCs w:val="1"/>
                <w:color w:val="auto"/>
                <w:w w:val="96"/>
              </w:rPr>
              <w:t>8325 Six Forks Road</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160" w:type="dxa"/>
            <w:vAlign w:val="bottom"/>
            <w:gridSpan w:val="2"/>
          </w:tcPr>
          <w:p>
            <w:pPr>
              <w:jc w:val="center"/>
              <w:ind w:right="1080"/>
              <w:spacing w:after="0" w:line="113" w:lineRule="exact"/>
              <w:rPr>
                <w:sz w:val="20"/>
                <w:szCs w:val="20"/>
                <w:color w:val="auto"/>
              </w:rPr>
            </w:pPr>
            <w:r>
              <w:rPr>
                <w:rFonts w:ascii="Arial" w:cs="Arial" w:eastAsia="Arial" w:hAnsi="Arial"/>
                <w:sz w:val="10"/>
                <w:szCs w:val="10"/>
                <w:b w:val="1"/>
                <w:bCs w:val="1"/>
                <w:color w:val="auto"/>
                <w:w w:val="95"/>
              </w:rPr>
              <w:t>Raleigh, North Carolina 27615</w:t>
            </w: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160" w:type="dxa"/>
            <w:vAlign w:val="bottom"/>
            <w:gridSpan w:val="2"/>
          </w:tcPr>
          <w:p>
            <w:pPr>
              <w:jc w:val="center"/>
              <w:ind w:right="1060"/>
              <w:spacing w:after="0" w:line="113" w:lineRule="exact"/>
              <w:rPr>
                <w:sz w:val="20"/>
                <w:szCs w:val="20"/>
                <w:color w:val="auto"/>
              </w:rPr>
            </w:pPr>
            <w:r>
              <w:rPr>
                <w:rFonts w:ascii="Arial" w:cs="Arial" w:eastAsia="Arial" w:hAnsi="Arial"/>
                <w:sz w:val="10"/>
                <w:szCs w:val="10"/>
                <w:b w:val="1"/>
                <w:bCs w:val="1"/>
                <w:color w:val="auto"/>
                <w:w w:val="95"/>
              </w:rPr>
              <w:t>(Address of principal executive offices)</w:t>
            </w: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3200" w:type="dxa"/>
            <w:vAlign w:val="bottom"/>
            <w:gridSpan w:val="2"/>
          </w:tcPr>
          <w:p>
            <w:pPr>
              <w:jc w:val="center"/>
              <w:ind w:left="1038"/>
              <w:spacing w:after="0" w:line="113" w:lineRule="exact"/>
              <w:rPr>
                <w:sz w:val="20"/>
                <w:szCs w:val="20"/>
                <w:color w:val="auto"/>
              </w:rPr>
            </w:pPr>
            <w:r>
              <w:rPr>
                <w:rFonts w:ascii="Arial" w:cs="Arial" w:eastAsia="Arial" w:hAnsi="Arial"/>
                <w:sz w:val="10"/>
                <w:szCs w:val="10"/>
                <w:b w:val="1"/>
                <w:bCs w:val="1"/>
                <w:color w:val="auto"/>
                <w:w w:val="96"/>
              </w:rPr>
              <w:t>(919) 846-4100</w:t>
            </w:r>
          </w:p>
        </w:tc>
        <w:tc>
          <w:tcPr>
            <w:tcW w:w="10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11"/>
                <w:szCs w:val="11"/>
                <w:color w:val="auto"/>
              </w:rPr>
            </w:pPr>
          </w:p>
        </w:tc>
        <w:tc>
          <w:tcPr>
            <w:tcW w:w="42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5"/>
              </w:rPr>
              <w:t>Registrant’s telephone number, including area code</w:t>
            </w: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2"/>
                <w:szCs w:val="22"/>
                <w:color w:val="auto"/>
              </w:rPr>
            </w:pPr>
          </w:p>
        </w:tc>
        <w:tc>
          <w:tcPr>
            <w:tcW w:w="42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Securities registered pursuant to Section 12(b) of the Act:</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660"/>
              <w:spacing w:after="0"/>
              <w:rPr>
                <w:sz w:val="20"/>
                <w:szCs w:val="20"/>
                <w:color w:val="auto"/>
              </w:rPr>
            </w:pPr>
            <w:r>
              <w:rPr>
                <w:rFonts w:ascii="Arial" w:cs="Arial" w:eastAsia="Arial" w:hAnsi="Arial"/>
                <w:sz w:val="10"/>
                <w:szCs w:val="10"/>
                <w:b w:val="1"/>
                <w:bCs w:val="1"/>
                <w:color w:val="auto"/>
              </w:rPr>
              <w:t>Title of each class</w:t>
            </w:r>
          </w:p>
        </w:tc>
        <w:tc>
          <w:tcPr>
            <w:tcW w:w="1100" w:type="dxa"/>
            <w:vAlign w:val="bottom"/>
          </w:tcPr>
          <w:p>
            <w:pPr>
              <w:spacing w:after="0"/>
              <w:rPr>
                <w:sz w:val="14"/>
                <w:szCs w:val="14"/>
                <w:color w:val="auto"/>
              </w:rPr>
            </w:pPr>
          </w:p>
        </w:tc>
        <w:tc>
          <w:tcPr>
            <w:tcW w:w="3160" w:type="dxa"/>
            <w:vAlign w:val="bottom"/>
            <w:gridSpan w:val="2"/>
          </w:tcPr>
          <w:p>
            <w:pPr>
              <w:jc w:val="center"/>
              <w:ind w:right="1080"/>
              <w:spacing w:after="0"/>
              <w:rPr>
                <w:sz w:val="20"/>
                <w:szCs w:val="20"/>
                <w:color w:val="auto"/>
              </w:rPr>
            </w:pPr>
            <w:r>
              <w:rPr>
                <w:rFonts w:ascii="Arial" w:cs="Arial" w:eastAsia="Arial" w:hAnsi="Arial"/>
                <w:sz w:val="10"/>
                <w:szCs w:val="10"/>
                <w:b w:val="1"/>
                <w:bCs w:val="1"/>
                <w:color w:val="auto"/>
                <w:w w:val="95"/>
              </w:rPr>
              <w:t>Trading Symbol(s)</w:t>
            </w:r>
          </w:p>
        </w:tc>
        <w:tc>
          <w:tcPr>
            <w:tcW w:w="2660" w:type="dxa"/>
            <w:vAlign w:val="bottom"/>
          </w:tcPr>
          <w:p>
            <w:pPr>
              <w:jc w:val="center"/>
              <w:ind w:left="591"/>
              <w:spacing w:after="0"/>
              <w:rPr>
                <w:sz w:val="20"/>
                <w:szCs w:val="20"/>
                <w:color w:val="auto"/>
              </w:rPr>
            </w:pPr>
            <w:r>
              <w:rPr>
                <w:rFonts w:ascii="Arial" w:cs="Arial" w:eastAsia="Arial" w:hAnsi="Arial"/>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20"/>
                <w:szCs w:val="20"/>
                <w:color w:val="auto"/>
              </w:rPr>
            </w:pPr>
            <w:r>
              <w:rPr>
                <w:rFonts w:ascii="Arial" w:cs="Arial" w:eastAsia="Arial" w:hAnsi="Arial"/>
                <w:sz w:val="11"/>
                <w:szCs w:val="11"/>
                <w:color w:val="auto"/>
              </w:rPr>
              <w:t>Common Stock, par value $0.01 per share</w:t>
            </w:r>
          </w:p>
        </w:tc>
        <w:tc>
          <w:tcPr>
            <w:tcW w:w="1100" w:type="dxa"/>
            <w:vAlign w:val="bottom"/>
          </w:tcPr>
          <w:p>
            <w:pPr>
              <w:spacing w:after="0"/>
              <w:rPr>
                <w:sz w:val="14"/>
                <w:szCs w:val="14"/>
                <w:color w:val="auto"/>
              </w:rPr>
            </w:pPr>
          </w:p>
        </w:tc>
        <w:tc>
          <w:tcPr>
            <w:tcW w:w="3160" w:type="dxa"/>
            <w:vAlign w:val="bottom"/>
            <w:gridSpan w:val="2"/>
          </w:tcPr>
          <w:p>
            <w:pPr>
              <w:ind w:left="900"/>
              <w:spacing w:after="0"/>
              <w:rPr>
                <w:sz w:val="20"/>
                <w:szCs w:val="20"/>
                <w:color w:val="auto"/>
              </w:rPr>
            </w:pPr>
            <w:r>
              <w:rPr>
                <w:rFonts w:ascii="Arial" w:cs="Arial" w:eastAsia="Arial" w:hAnsi="Arial"/>
                <w:sz w:val="11"/>
                <w:szCs w:val="11"/>
                <w:color w:val="auto"/>
              </w:rPr>
              <w:t>ACT</w:t>
            </w:r>
          </w:p>
        </w:tc>
        <w:tc>
          <w:tcPr>
            <w:tcW w:w="2660" w:type="dxa"/>
            <w:vAlign w:val="bottom"/>
          </w:tcPr>
          <w:p>
            <w:pPr>
              <w:jc w:val="center"/>
              <w:ind w:left="591"/>
              <w:spacing w:after="0"/>
              <w:rPr>
                <w:sz w:val="20"/>
                <w:szCs w:val="20"/>
                <w:color w:val="auto"/>
              </w:rPr>
            </w:pPr>
            <w:r>
              <w:rPr>
                <w:rFonts w:ascii="Arial" w:cs="Arial" w:eastAsia="Arial" w:hAnsi="Arial"/>
                <w:sz w:val="11"/>
                <w:szCs w:val="11"/>
                <w:color w:val="auto"/>
                <w:w w:val="99"/>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2932430</wp:posOffset>
            </wp:positionH>
            <wp:positionV relativeFrom="paragraph">
              <wp:posOffset>-1771650</wp:posOffset>
            </wp:positionV>
            <wp:extent cx="1303020" cy="260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260350"/>
                    </a:xfrm>
                    <a:prstGeom prst="rect">
                      <a:avLst/>
                    </a:prstGeom>
                    <a:noFill/>
                  </pic:spPr>
                </pic:pic>
              </a:graphicData>
            </a:graphic>
          </wp:anchor>
        </w:drawing>
      </w:r>
    </w:p>
    <w:p>
      <w:pPr>
        <w:spacing w:after="0" w:line="93"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51" w:lineRule="exact"/>
        <w:rPr>
          <w:sz w:val="24"/>
          <w:szCs w:val="24"/>
          <w:color w:val="auto"/>
        </w:rPr>
      </w:pPr>
    </w:p>
    <w:p>
      <w:pPr>
        <w:ind w:left="120" w:right="4840"/>
        <w:spacing w:after="0" w:line="210"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2"/>
          <w:szCs w:val="12"/>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right="60" w:firstLine="123"/>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0" w:lineRule="exact"/>
        <w:rPr>
          <w:sz w:val="24"/>
          <w:szCs w:val="24"/>
          <w:color w:val="auto"/>
        </w:rPr>
      </w:pPr>
    </w:p>
    <w:p>
      <w:pPr>
        <w:ind w:right="60" w:firstLine="123"/>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0" w:lineRule="exact"/>
        <w:rPr>
          <w:sz w:val="24"/>
          <w:szCs w:val="24"/>
          <w:color w:val="auto"/>
        </w:rPr>
      </w:pPr>
    </w:p>
    <w:p>
      <w:pPr>
        <w:ind w:right="60" w:firstLine="123"/>
        <w:spacing w:after="0" w:line="24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p>
      <w:pPr>
        <w:ind w:left="500"/>
        <w:spacing w:after="0" w:line="115" w:lineRule="exact"/>
        <w:tabs>
          <w:tab w:leader="none" w:pos="2140" w:val="left"/>
          <w:tab w:leader="none" w:pos="9140" w:val="left"/>
          <w:tab w:leader="none" w:pos="1122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Accelerated filer</w:t>
      </w:r>
      <w:r>
        <w:rPr>
          <w:sz w:val="20"/>
          <w:szCs w:val="20"/>
          <w:color w:val="auto"/>
        </w:rPr>
        <w:tab/>
      </w:r>
      <w:r>
        <w:rPr>
          <w:rFonts w:ascii="MS PGothic" w:cs="MS PGothic" w:eastAsia="MS PGothic" w:hAnsi="MS PGothic"/>
          <w:sz w:val="10"/>
          <w:szCs w:val="10"/>
          <w:color w:val="auto"/>
        </w:rPr>
        <w:t>☐</w:t>
      </w:r>
    </w:p>
    <w:p>
      <w:pPr>
        <w:spacing w:after="0" w:line="186" w:lineRule="exact"/>
        <w:rPr>
          <w:sz w:val="24"/>
          <w:szCs w:val="24"/>
          <w:color w:val="auto"/>
        </w:rPr>
      </w:pPr>
    </w:p>
    <w:p>
      <w:pPr>
        <w:ind w:left="2280" w:hanging="110"/>
        <w:spacing w:after="0"/>
        <w:tabs>
          <w:tab w:leader="none" w:pos="2280" w:val="left"/>
        </w:tabs>
        <w:numPr>
          <w:ilvl w:val="0"/>
          <w:numId w:val="3"/>
        </w:numPr>
        <w:rPr>
          <w:rFonts w:ascii="MS PGothic" w:cs="MS PGothic" w:eastAsia="MS PGothic" w:hAnsi="MS PGothic"/>
          <w:sz w:val="10"/>
          <w:szCs w:val="10"/>
          <w:color w:val="auto"/>
        </w:rPr>
      </w:pPr>
      <w:r>
        <w:rPr>
          <w:rFonts w:ascii="Arial" w:cs="Arial" w:eastAsia="Arial" w:hAnsi="Arial"/>
          <w:sz w:val="10"/>
          <w:szCs w:val="10"/>
          <w:color w:val="auto"/>
        </w:rPr>
        <w:t>(Do not check if a smaller reporting company)</w:t>
      </w:r>
    </w:p>
    <w:p>
      <w:pPr>
        <w:sectPr>
          <w:pgSz w:w="11900" w:h="16838" w:orient="portrait"/>
          <w:cols w:equalWidth="0" w:num="1">
            <w:col w:w="11340"/>
          </w:cols>
          <w:pgMar w:left="300" w:top="820" w:right="259" w:bottom="1440" w:gutter="0" w:footer="0" w:header="0"/>
        </w:sectPr>
      </w:pPr>
    </w:p>
    <w:p>
      <w:pPr>
        <w:spacing w:after="0" w:line="10" w:lineRule="exact"/>
        <w:rPr>
          <w:sz w:val="24"/>
          <w:szCs w:val="24"/>
          <w:color w:val="auto"/>
        </w:rPr>
      </w:pPr>
    </w:p>
    <w:p>
      <w:pPr>
        <w:ind w:left="500"/>
        <w:spacing w:after="0"/>
        <w:rPr>
          <w:sz w:val="20"/>
          <w:szCs w:val="20"/>
          <w:color w:val="auto"/>
        </w:rPr>
      </w:pPr>
      <w:r>
        <w:rPr>
          <w:rFonts w:ascii="Arial" w:cs="Arial" w:eastAsia="Arial" w:hAnsi="Arial"/>
          <w:sz w:val="8"/>
          <w:szCs w:val="8"/>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Smaller reporting company</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0"/>
          <w:szCs w:val="10"/>
          <w:color w:val="auto"/>
        </w:rPr>
        <w:t>☐</w:t>
      </w:r>
    </w:p>
    <w:p>
      <w:pPr>
        <w:spacing w:after="0" w:line="69" w:lineRule="exact"/>
        <w:rPr>
          <w:sz w:val="24"/>
          <w:szCs w:val="24"/>
          <w:color w:val="auto"/>
        </w:rPr>
      </w:pPr>
    </w:p>
    <w:p>
      <w:pPr>
        <w:sectPr>
          <w:pgSz w:w="11900" w:h="16838" w:orient="portrait"/>
          <w:cols w:equalWidth="0" w:num="3">
            <w:col w:w="8440" w:space="720"/>
            <w:col w:w="1360" w:space="720"/>
            <w:col w:w="100"/>
          </w:cols>
          <w:pgMar w:left="300" w:top="820" w:right="259" w:bottom="1440" w:gutter="0" w:footer="0" w:header="0"/>
          <w:type w:val="continuous"/>
        </w:sectPr>
      </w:pPr>
    </w:p>
    <w:p>
      <w:pPr>
        <w:spacing w:after="0" w:line="24" w:lineRule="exact"/>
        <w:rPr>
          <w:sz w:val="24"/>
          <w:szCs w:val="24"/>
          <w:color w:val="auto"/>
        </w:rPr>
      </w:pPr>
    </w:p>
    <w:p>
      <w:pPr>
        <w:ind w:left="9160"/>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68" w:lineRule="exact"/>
        <w:rPr>
          <w:sz w:val="24"/>
          <w:szCs w:val="24"/>
          <w:color w:val="auto"/>
        </w:rPr>
      </w:pPr>
    </w:p>
    <w:p>
      <w:pPr>
        <w:sectPr>
          <w:pgSz w:w="11900" w:h="16838" w:orient="portrait"/>
          <w:cols w:equalWidth="0" w:num="2">
            <w:col w:w="10520" w:space="720"/>
            <w:col w:w="100"/>
          </w:cols>
          <w:pgMar w:left="300" w:top="820" w:right="259" w:bottom="1440" w:gutter="0" w:footer="0" w:header="0"/>
          <w:type w:val="continuous"/>
        </w:sectPr>
      </w:pPr>
    </w:p>
    <w:p>
      <w:pPr>
        <w:jc w:val="both"/>
        <w:ind w:right="60" w:firstLine="123"/>
        <w:spacing w:after="0" w:line="13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1"/>
          <w:szCs w:val="11"/>
          <w:color w:val="auto"/>
        </w:rPr>
        <w:t>☐</w:t>
      </w:r>
    </w:p>
    <w:p>
      <w:pPr>
        <w:spacing w:after="0" w:line="22" w:lineRule="exact"/>
        <w:rPr>
          <w:sz w:val="24"/>
          <w:szCs w:val="24"/>
          <w:color w:val="auto"/>
        </w:rPr>
      </w:pPr>
    </w:p>
    <w:p>
      <w:pPr>
        <w:jc w:val="both"/>
        <w:ind w:right="60" w:firstLine="123"/>
        <w:spacing w:after="0" w:line="13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ind w:left="120"/>
        <w:spacing w:after="0" w:line="150"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3"/>
          <w:szCs w:val="13"/>
          <w:color w:val="auto"/>
        </w:rPr>
        <w:t>☒</w:t>
      </w:r>
    </w:p>
    <w:p>
      <w:pPr>
        <w:spacing w:after="0" w:line="77" w:lineRule="exact"/>
        <w:rPr>
          <w:sz w:val="24"/>
          <w:szCs w:val="24"/>
          <w:color w:val="auto"/>
        </w:rPr>
      </w:pPr>
    </w:p>
    <w:p>
      <w:pPr>
        <w:jc w:val="both"/>
        <w:ind w:right="60" w:firstLine="123"/>
        <w:spacing w:after="0" w:line="238" w:lineRule="auto"/>
        <w:rPr>
          <w:sz w:val="20"/>
          <w:szCs w:val="20"/>
          <w:color w:val="auto"/>
        </w:rPr>
      </w:pPr>
      <w:r>
        <w:rPr>
          <w:rFonts w:ascii="Arial" w:cs="Arial" w:eastAsia="Arial" w:hAnsi="Arial"/>
          <w:sz w:val="11"/>
          <w:szCs w:val="11"/>
          <w:color w:val="auto"/>
        </w:rPr>
        <w:t>The registrant completed the initial offering of its common stock on September 20,2021. Accordingly, there was no public market for the registrant’s common stock as of June 30, 2021, the last business day of the registrant’s most recently completed second fiscal quarter. The aggregate market value of the registrant's common stock, par value $0.01 per share held by non-affiliates was approximately $619 million based upon the December 31, 2021, closing price of $20.67 as reported by the Nasdaq Stock Market.</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1"/>
          <w:szCs w:val="11"/>
          <w:color w:val="auto"/>
        </w:rPr>
        <w:t>As of February 22, 2022, there were162,841,204 shares of Common Stock, par value $0.01 per share, outstanding.</w:t>
      </w:r>
    </w:p>
    <w:p>
      <w:pPr>
        <w:spacing w:after="0" w:line="67" w:lineRule="exact"/>
        <w:rPr>
          <w:sz w:val="24"/>
          <w:szCs w:val="24"/>
          <w:color w:val="auto"/>
        </w:rPr>
      </w:pPr>
    </w:p>
    <w:p>
      <w:pPr>
        <w:ind w:left="4400"/>
        <w:spacing w:after="0"/>
        <w:rPr>
          <w:sz w:val="20"/>
          <w:szCs w:val="20"/>
          <w:color w:val="auto"/>
        </w:rPr>
      </w:pPr>
      <w:r>
        <w:rPr>
          <w:rFonts w:ascii="Arial" w:cs="Arial" w:eastAsia="Arial" w:hAnsi="Arial"/>
          <w:sz w:val="11"/>
          <w:szCs w:val="11"/>
          <w:b w:val="1"/>
          <w:bCs w:val="1"/>
          <w:color w:val="auto"/>
        </w:rPr>
        <w:t>DOCUMENTS INCORPORATED BY REFERENCE</w:t>
      </w:r>
    </w:p>
    <w:p>
      <w:pPr>
        <w:spacing w:after="0" w:line="91" w:lineRule="exact"/>
        <w:rPr>
          <w:sz w:val="24"/>
          <w:szCs w:val="24"/>
          <w:color w:val="auto"/>
        </w:rPr>
      </w:pPr>
    </w:p>
    <w:p>
      <w:pPr>
        <w:jc w:val="both"/>
        <w:ind w:right="60" w:firstLine="123"/>
        <w:spacing w:after="0" w:line="242" w:lineRule="auto"/>
        <w:rPr>
          <w:sz w:val="20"/>
          <w:szCs w:val="20"/>
          <w:color w:val="auto"/>
        </w:rPr>
      </w:pPr>
      <w:r>
        <w:rPr>
          <w:rFonts w:ascii="Arial" w:cs="Arial" w:eastAsia="Arial" w:hAnsi="Arial"/>
          <w:sz w:val="11"/>
          <w:szCs w:val="11"/>
          <w:color w:val="auto"/>
        </w:rPr>
        <w:t>Certain portions of the registrant’s definitive proxy statement pursuant to Regulation 14A of the Securities Exchange Act of 1934 in connection with the 2022 annual meeting of the registrant’s stockholders are incorporated by reference into Part III of this Annual Report on Form 10-K.</w:t>
      </w:r>
    </w:p>
    <w:p>
      <w:pPr>
        <w:spacing w:after="0" w:line="315" w:lineRule="exact"/>
        <w:rPr>
          <w:sz w:val="24"/>
          <w:szCs w:val="24"/>
          <w:color w:val="auto"/>
        </w:rPr>
      </w:pPr>
    </w:p>
    <w:p>
      <w:pPr>
        <w:jc w:val="center"/>
        <w:ind w:right="6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340"/>
          </w:cols>
          <w:pgMar w:left="300" w:top="820"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500" w:type="dxa"/>
            <w:vAlign w:val="bottom"/>
            <w:gridSpan w:val="14"/>
          </w:tcPr>
          <w:p>
            <w:pPr>
              <w:ind w:left="120"/>
              <w:spacing w:after="0"/>
              <w:rPr>
                <w:sz w:val="20"/>
                <w:szCs w:val="20"/>
                <w:color w:val="auto"/>
              </w:rPr>
            </w:pPr>
            <w:r>
              <w:rPr>
                <w:rFonts w:ascii="Arial" w:cs="Arial" w:eastAsia="Arial" w:hAnsi="Arial"/>
                <w:sz w:val="14"/>
                <w:szCs w:val="14"/>
                <w:b w:val="1"/>
                <w:bCs w:val="1"/>
                <w:color w:val="auto"/>
              </w:rPr>
              <w:t>TABLE OF CONTENTS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720" w:type="dxa"/>
            <w:vAlign w:val="bottom"/>
            <w:gridSpan w:val="10"/>
            <w:vMerge w:val="restart"/>
          </w:tcPr>
          <w:p>
            <w:pPr>
              <w:jc w:val="center"/>
              <w:ind w:right="4380"/>
              <w:spacing w:after="0"/>
              <w:rPr>
                <w:rFonts w:ascii="Arial" w:cs="Arial" w:eastAsia="Arial" w:hAnsi="Arial"/>
                <w:sz w:val="14"/>
                <w:szCs w:val="14"/>
                <w:b w:val="1"/>
                <w:bCs w:val="1"/>
                <w:color w:val="0000FF"/>
                <w:w w:val="96"/>
              </w:rPr>
            </w:pPr>
            <w:hyperlink w:anchor="page3">
              <w:r>
                <w:rPr>
                  <w:rFonts w:ascii="Arial" w:cs="Arial" w:eastAsia="Arial" w:hAnsi="Arial"/>
                  <w:sz w:val="14"/>
                  <w:szCs w:val="14"/>
                  <w:b w:val="1"/>
                  <w:bCs w:val="1"/>
                  <w:color w:val="0000FF"/>
                  <w:w w:val="96"/>
                </w:rPr>
                <w:t>Part I</w:t>
              </w:r>
            </w:hyperlink>
          </w:p>
        </w:tc>
        <w:tc>
          <w:tcPr>
            <w:tcW w:w="980" w:type="dxa"/>
            <w:vAlign w:val="bottom"/>
            <w:tcBorders>
              <w:bottom w:val="single" w:sz="8" w:color="auto"/>
            </w:tcBorders>
            <w:gridSpan w:val="4"/>
          </w:tcPr>
          <w:p>
            <w:pPr>
              <w:ind w:left="36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4720" w:type="dxa"/>
            <w:vAlign w:val="bottom"/>
            <w:gridSpan w:val="10"/>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line="155" w:lineRule="exact"/>
              <w:rPr>
                <w:rFonts w:ascii="Arial" w:cs="Arial" w:eastAsia="Arial" w:hAnsi="Arial"/>
                <w:sz w:val="14"/>
                <w:szCs w:val="14"/>
                <w:color w:val="0000FF"/>
                <w:w w:val="79"/>
              </w:rPr>
            </w:pPr>
            <w:hyperlink w:anchor="page4">
              <w:r>
                <w:rPr>
                  <w:rFonts w:ascii="Arial" w:cs="Arial" w:eastAsia="Arial" w:hAnsi="Arial"/>
                  <w:sz w:val="14"/>
                  <w:szCs w:val="14"/>
                  <w:color w:val="0000FF"/>
                  <w:w w:val="79"/>
                </w:rPr>
                <w:t>Item 1.</w:t>
              </w:r>
            </w:hyperlink>
          </w:p>
        </w:tc>
        <w:tc>
          <w:tcPr>
            <w:tcW w:w="820" w:type="dxa"/>
            <w:vAlign w:val="bottom"/>
            <w:gridSpan w:val="2"/>
          </w:tcPr>
          <w:p>
            <w:pPr>
              <w:spacing w:after="0"/>
              <w:rPr>
                <w:sz w:val="13"/>
                <w:szCs w:val="13"/>
                <w:color w:val="auto"/>
              </w:rPr>
            </w:pPr>
          </w:p>
        </w:tc>
        <w:tc>
          <w:tcPr>
            <w:tcW w:w="4360" w:type="dxa"/>
            <w:vAlign w:val="bottom"/>
            <w:gridSpan w:val="18"/>
          </w:tcPr>
          <w:p>
            <w:pPr>
              <w:spacing w:after="0" w:line="155" w:lineRule="exact"/>
              <w:rPr>
                <w:rFonts w:ascii="Arial" w:cs="Arial" w:eastAsia="Arial" w:hAnsi="Arial"/>
                <w:sz w:val="14"/>
                <w:szCs w:val="14"/>
                <w:color w:val="0000FF"/>
              </w:rPr>
            </w:pPr>
            <w:hyperlink w:anchor="page4">
              <w:r>
                <w:rPr>
                  <w:rFonts w:ascii="Arial" w:cs="Arial" w:eastAsia="Arial" w:hAnsi="Arial"/>
                  <w:sz w:val="14"/>
                  <w:szCs w:val="14"/>
                  <w:color w:val="0000FF"/>
                </w:rPr>
                <w:t>Business</w:t>
              </w:r>
            </w:hyperlink>
          </w:p>
        </w:tc>
        <w:tc>
          <w:tcPr>
            <w:tcW w:w="340" w:type="dxa"/>
            <w:vAlign w:val="bottom"/>
            <w:tcBorders>
              <w:top w:val="single" w:sz="8" w:color="0000FF"/>
            </w:tcBorders>
            <w:gridSpan w:val="2"/>
          </w:tcPr>
          <w:p>
            <w:pPr>
              <w:spacing w:after="0"/>
              <w:rPr>
                <w:sz w:val="13"/>
                <w:szCs w:val="13"/>
                <w:color w:val="auto"/>
              </w:rPr>
            </w:pPr>
          </w:p>
        </w:tc>
        <w:tc>
          <w:tcPr>
            <w:tcW w:w="4380" w:type="dxa"/>
            <w:vAlign w:val="bottom"/>
            <w:gridSpan w:val="8"/>
          </w:tcPr>
          <w:p>
            <w:pPr>
              <w:spacing w:after="0"/>
              <w:rPr>
                <w:sz w:val="13"/>
                <w:szCs w:val="13"/>
                <w:color w:val="auto"/>
              </w:rPr>
            </w:pPr>
          </w:p>
        </w:tc>
        <w:tc>
          <w:tcPr>
            <w:tcW w:w="560" w:type="dxa"/>
            <w:vAlign w:val="bottom"/>
            <w:gridSpan w:val="3"/>
          </w:tcPr>
          <w:p>
            <w:pPr>
              <w:jc w:val="center"/>
              <w:ind w:left="372"/>
              <w:spacing w:after="0" w:line="155" w:lineRule="exact"/>
              <w:rPr>
                <w:rFonts w:ascii="Arial" w:cs="Arial" w:eastAsia="Arial" w:hAnsi="Arial"/>
                <w:sz w:val="14"/>
                <w:szCs w:val="14"/>
                <w:color w:val="0000FF"/>
              </w:rPr>
            </w:pPr>
            <w:hyperlink w:anchor="page4">
              <w:r>
                <w:rPr>
                  <w:rFonts w:ascii="Arial" w:cs="Arial" w:eastAsia="Arial" w:hAnsi="Arial"/>
                  <w:sz w:val="14"/>
                  <w:szCs w:val="14"/>
                  <w:color w:val="0000FF"/>
                </w:rPr>
                <w:t>4</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w w:val="84"/>
              </w:rPr>
            </w:pPr>
            <w:hyperlink w:anchor="page33">
              <w:r>
                <w:rPr>
                  <w:rFonts w:ascii="Arial" w:cs="Arial" w:eastAsia="Arial" w:hAnsi="Arial"/>
                  <w:sz w:val="14"/>
                  <w:szCs w:val="14"/>
                  <w:color w:val="0000FF"/>
                  <w:w w:val="84"/>
                </w:rPr>
                <w:t>Item 1A.</w:t>
              </w:r>
            </w:hyperlink>
          </w:p>
        </w:tc>
        <w:tc>
          <w:tcPr>
            <w:tcW w:w="720" w:type="dxa"/>
            <w:vAlign w:val="bottom"/>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33">
              <w:r>
                <w:rPr>
                  <w:rFonts w:ascii="Arial" w:cs="Arial" w:eastAsia="Arial" w:hAnsi="Arial"/>
                  <w:sz w:val="14"/>
                  <w:szCs w:val="14"/>
                  <w:color w:val="0000FF"/>
                </w:rPr>
                <w:t>Risk Factors</w:t>
              </w:r>
            </w:hyperlink>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33">
              <w:r>
                <w:rPr>
                  <w:rFonts w:ascii="Arial" w:cs="Arial" w:eastAsia="Arial" w:hAnsi="Arial"/>
                  <w:sz w:val="14"/>
                  <w:szCs w:val="14"/>
                  <w:color w:val="0000FF"/>
                  <w:w w:val="89"/>
                </w:rPr>
                <w:t>33</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w w:val="84"/>
              </w:rPr>
            </w:pPr>
            <w:hyperlink w:anchor="page79">
              <w:r>
                <w:rPr>
                  <w:rFonts w:ascii="Arial" w:cs="Arial" w:eastAsia="Arial" w:hAnsi="Arial"/>
                  <w:sz w:val="14"/>
                  <w:szCs w:val="14"/>
                  <w:color w:val="0000FF"/>
                  <w:w w:val="84"/>
                </w:rPr>
                <w:t>Item 1B.</w:t>
              </w:r>
            </w:hyperlink>
          </w:p>
        </w:tc>
        <w:tc>
          <w:tcPr>
            <w:tcW w:w="720" w:type="dxa"/>
            <w:vAlign w:val="bottom"/>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79">
              <w:r>
                <w:rPr>
                  <w:rFonts w:ascii="Arial" w:cs="Arial" w:eastAsia="Arial" w:hAnsi="Arial"/>
                  <w:sz w:val="14"/>
                  <w:szCs w:val="14"/>
                  <w:color w:val="0000FF"/>
                </w:rPr>
                <w:t>Unresolved Staff Comments</w:t>
              </w:r>
            </w:hyperlink>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79">
              <w:r>
                <w:rPr>
                  <w:rFonts w:ascii="Arial" w:cs="Arial" w:eastAsia="Arial" w:hAnsi="Arial"/>
                  <w:sz w:val="14"/>
                  <w:szCs w:val="14"/>
                  <w:color w:val="0000FF"/>
                  <w:w w:val="89"/>
                </w:rPr>
                <w:t>79</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0" w:type="dxa"/>
            <w:vAlign w:val="bottom"/>
          </w:tcPr>
          <w:p>
            <w:pPr>
              <w:spacing w:after="0" w:line="155" w:lineRule="exact"/>
              <w:rPr>
                <w:rFonts w:ascii="Arial" w:cs="Arial" w:eastAsia="Arial" w:hAnsi="Arial"/>
                <w:sz w:val="14"/>
                <w:szCs w:val="14"/>
                <w:color w:val="0000FF"/>
                <w:w w:val="79"/>
              </w:rPr>
            </w:pPr>
            <w:hyperlink w:anchor="page79">
              <w:r>
                <w:rPr>
                  <w:rFonts w:ascii="Arial" w:cs="Arial" w:eastAsia="Arial" w:hAnsi="Arial"/>
                  <w:sz w:val="14"/>
                  <w:szCs w:val="14"/>
                  <w:color w:val="0000FF"/>
                  <w:w w:val="79"/>
                </w:rPr>
                <w:t>Item 2.</w:t>
              </w:r>
            </w:hyperlink>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gridSpan w:val="9"/>
          </w:tcPr>
          <w:p>
            <w:pPr>
              <w:spacing w:after="0" w:line="155" w:lineRule="exact"/>
              <w:rPr>
                <w:rFonts w:ascii="Arial" w:cs="Arial" w:eastAsia="Arial" w:hAnsi="Arial"/>
                <w:sz w:val="14"/>
                <w:szCs w:val="14"/>
                <w:color w:val="0000FF"/>
              </w:rPr>
            </w:pPr>
            <w:hyperlink w:anchor="page79">
              <w:r>
                <w:rPr>
                  <w:rFonts w:ascii="Arial" w:cs="Arial" w:eastAsia="Arial" w:hAnsi="Arial"/>
                  <w:sz w:val="14"/>
                  <w:szCs w:val="14"/>
                  <w:color w:val="0000FF"/>
                </w:rPr>
                <w:t>Properties</w:t>
              </w:r>
            </w:hyperlink>
          </w:p>
        </w:tc>
        <w:tc>
          <w:tcPr>
            <w:tcW w:w="7360" w:type="dxa"/>
            <w:vAlign w:val="bottom"/>
            <w:gridSpan w:val="19"/>
          </w:tcPr>
          <w:p>
            <w:pPr>
              <w:spacing w:after="0"/>
              <w:rPr>
                <w:sz w:val="13"/>
                <w:szCs w:val="13"/>
                <w:color w:val="auto"/>
              </w:rPr>
            </w:pPr>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79">
              <w:r>
                <w:rPr>
                  <w:rFonts w:ascii="Arial" w:cs="Arial" w:eastAsia="Arial" w:hAnsi="Arial"/>
                  <w:sz w:val="14"/>
                  <w:szCs w:val="14"/>
                  <w:color w:val="0000FF"/>
                  <w:w w:val="89"/>
                </w:rPr>
                <w:t>79</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0" w:type="dxa"/>
            <w:vAlign w:val="bottom"/>
          </w:tcPr>
          <w:p>
            <w:pPr>
              <w:spacing w:after="0" w:line="155" w:lineRule="exact"/>
              <w:rPr>
                <w:rFonts w:ascii="Arial" w:cs="Arial" w:eastAsia="Arial" w:hAnsi="Arial"/>
                <w:sz w:val="14"/>
                <w:szCs w:val="14"/>
                <w:color w:val="0000FF"/>
                <w:w w:val="79"/>
              </w:rPr>
            </w:pPr>
            <w:hyperlink w:anchor="page79">
              <w:r>
                <w:rPr>
                  <w:rFonts w:ascii="Arial" w:cs="Arial" w:eastAsia="Arial" w:hAnsi="Arial"/>
                  <w:sz w:val="14"/>
                  <w:szCs w:val="14"/>
                  <w:color w:val="0000FF"/>
                  <w:w w:val="79"/>
                </w:rPr>
                <w:t>Item 3</w:t>
              </w:r>
            </w:hyperlink>
            <w:r>
              <w:rPr>
                <w:rFonts w:ascii="Arial" w:cs="Arial" w:eastAsia="Arial" w:hAnsi="Arial"/>
                <w:sz w:val="14"/>
                <w:szCs w:val="14"/>
                <w:color w:val="000000"/>
                <w:w w:val="79"/>
              </w:rPr>
              <w:t>.</w:t>
            </w:r>
          </w:p>
        </w:tc>
        <w:tc>
          <w:tcPr>
            <w:tcW w:w="820" w:type="dxa"/>
            <w:vAlign w:val="bottom"/>
            <w:gridSpan w:val="2"/>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79">
              <w:r>
                <w:rPr>
                  <w:rFonts w:ascii="Arial" w:cs="Arial" w:eastAsia="Arial" w:hAnsi="Arial"/>
                  <w:sz w:val="14"/>
                  <w:szCs w:val="14"/>
                  <w:color w:val="0000FF"/>
                </w:rPr>
                <w:t>Legal Proceedings</w:t>
              </w:r>
            </w:hyperlink>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79">
              <w:r>
                <w:rPr>
                  <w:rFonts w:ascii="Arial" w:cs="Arial" w:eastAsia="Arial" w:hAnsi="Arial"/>
                  <w:sz w:val="14"/>
                  <w:szCs w:val="14"/>
                  <w:color w:val="0000FF"/>
                  <w:w w:val="89"/>
                </w:rPr>
                <w:t>79</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79">
              <w:r>
                <w:rPr>
                  <w:rFonts w:ascii="Arial" w:cs="Arial" w:eastAsia="Arial" w:hAnsi="Arial"/>
                  <w:sz w:val="14"/>
                  <w:szCs w:val="14"/>
                  <w:color w:val="0000FF"/>
                </w:rPr>
                <w:t>Item 4.</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79">
              <w:r>
                <w:rPr>
                  <w:rFonts w:ascii="Arial" w:cs="Arial" w:eastAsia="Arial" w:hAnsi="Arial"/>
                  <w:sz w:val="14"/>
                  <w:szCs w:val="14"/>
                  <w:color w:val="0000FF"/>
                </w:rPr>
                <w:t>Mine Safety Disclosures</w:t>
              </w:r>
            </w:hyperlink>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79">
              <w:r>
                <w:rPr>
                  <w:rFonts w:ascii="Arial" w:cs="Arial" w:eastAsia="Arial" w:hAnsi="Arial"/>
                  <w:sz w:val="14"/>
                  <w:szCs w:val="14"/>
                  <w:color w:val="0000FF"/>
                  <w:w w:val="89"/>
                </w:rPr>
                <w:t>79</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gridSpan w:val="11"/>
          </w:tcPr>
          <w:p>
            <w:pPr>
              <w:jc w:val="center"/>
              <w:ind w:right="4360"/>
              <w:spacing w:after="0" w:line="155" w:lineRule="exact"/>
              <w:rPr>
                <w:rFonts w:ascii="Arial" w:cs="Arial" w:eastAsia="Arial" w:hAnsi="Arial"/>
                <w:sz w:val="14"/>
                <w:szCs w:val="14"/>
                <w:b w:val="1"/>
                <w:bCs w:val="1"/>
                <w:color w:val="0000FF"/>
                <w:w w:val="97"/>
              </w:rPr>
            </w:pPr>
            <w:hyperlink w:anchor="page79">
              <w:r>
                <w:rPr>
                  <w:rFonts w:ascii="Arial" w:cs="Arial" w:eastAsia="Arial" w:hAnsi="Arial"/>
                  <w:sz w:val="14"/>
                  <w:szCs w:val="14"/>
                  <w:b w:val="1"/>
                  <w:bCs w:val="1"/>
                  <w:color w:val="0000FF"/>
                  <w:w w:val="97"/>
                </w:rPr>
                <w:t>Part II</w:t>
              </w:r>
            </w:hyperlink>
          </w:p>
        </w:tc>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rPr>
            </w:pPr>
            <w:hyperlink w:anchor="page80">
              <w:r>
                <w:rPr>
                  <w:rFonts w:ascii="Arial" w:cs="Arial" w:eastAsia="Arial" w:hAnsi="Arial"/>
                  <w:sz w:val="14"/>
                  <w:szCs w:val="14"/>
                  <w:color w:val="0000FF"/>
                </w:rPr>
                <w:t>Item 5.</w:t>
              </w:r>
            </w:hyperlink>
          </w:p>
        </w:tc>
        <w:tc>
          <w:tcPr>
            <w:tcW w:w="720" w:type="dxa"/>
            <w:vAlign w:val="bottom"/>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80">
              <w:r>
                <w:rPr>
                  <w:rFonts w:ascii="Arial" w:cs="Arial" w:eastAsia="Arial" w:hAnsi="Arial"/>
                  <w:sz w:val="14"/>
                  <w:szCs w:val="14"/>
                  <w:color w:val="0000FF"/>
                </w:rPr>
                <w:t>Market for Registrant’s Common Equity, Related Stockholder Matters and Issuer Purchases of Equity Securities</w:t>
              </w:r>
            </w:hyperlink>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80">
              <w:r>
                <w:rPr>
                  <w:rFonts w:ascii="Arial" w:cs="Arial" w:eastAsia="Arial" w:hAnsi="Arial"/>
                  <w:sz w:val="14"/>
                  <w:szCs w:val="14"/>
                  <w:color w:val="0000FF"/>
                  <w:w w:val="89"/>
                </w:rPr>
                <w:t>80</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top w:val="single" w:sz="8" w:color="0000FF"/>
            </w:tcBorders>
            <w:gridSpan w:val="2"/>
          </w:tcPr>
          <w:p>
            <w:pPr>
              <w:spacing w:after="0" w:line="155" w:lineRule="exact"/>
              <w:rPr>
                <w:rFonts w:ascii="Arial" w:cs="Arial" w:eastAsia="Arial" w:hAnsi="Arial"/>
                <w:sz w:val="14"/>
                <w:szCs w:val="14"/>
                <w:color w:val="0000FF"/>
              </w:rPr>
            </w:pPr>
            <w:hyperlink w:anchor="page81">
              <w:r>
                <w:rPr>
                  <w:rFonts w:ascii="Arial" w:cs="Arial" w:eastAsia="Arial" w:hAnsi="Arial"/>
                  <w:sz w:val="14"/>
                  <w:szCs w:val="14"/>
                  <w:color w:val="0000FF"/>
                </w:rPr>
                <w:t>Item 6.</w:t>
              </w:r>
            </w:hyperlink>
          </w:p>
        </w:tc>
        <w:tc>
          <w:tcPr>
            <w:tcW w:w="720" w:type="dxa"/>
            <w:vAlign w:val="bottom"/>
          </w:tcPr>
          <w:p>
            <w:pPr>
              <w:spacing w:after="0"/>
              <w:rPr>
                <w:sz w:val="13"/>
                <w:szCs w:val="13"/>
                <w:color w:val="auto"/>
              </w:rPr>
            </w:pPr>
          </w:p>
        </w:tc>
        <w:tc>
          <w:tcPr>
            <w:tcW w:w="6740" w:type="dxa"/>
            <w:vAlign w:val="bottom"/>
            <w:tcBorders>
              <w:top w:val="single" w:sz="8" w:color="0000FF"/>
            </w:tcBorders>
            <w:gridSpan w:val="27"/>
          </w:tcPr>
          <w:p>
            <w:pPr>
              <w:spacing w:after="0" w:line="155" w:lineRule="exact"/>
              <w:rPr>
                <w:rFonts w:ascii="Arial" w:cs="Arial" w:eastAsia="Arial" w:hAnsi="Arial"/>
                <w:sz w:val="14"/>
                <w:szCs w:val="14"/>
                <w:color w:val="0000FF"/>
              </w:rPr>
            </w:pPr>
            <w:hyperlink w:anchor="page81">
              <w:r>
                <w:rPr>
                  <w:rFonts w:ascii="Arial" w:cs="Arial" w:eastAsia="Arial" w:hAnsi="Arial"/>
                  <w:sz w:val="14"/>
                  <w:szCs w:val="14"/>
                  <w:color w:val="0000FF"/>
                </w:rPr>
                <w:t>[Reserved]</w:t>
              </w:r>
            </w:hyperlink>
          </w:p>
        </w:tc>
        <w:tc>
          <w:tcPr>
            <w:tcW w:w="2340" w:type="dxa"/>
            <w:vAlign w:val="bottom"/>
          </w:tcPr>
          <w:p>
            <w:pPr>
              <w:spacing w:after="0"/>
              <w:rPr>
                <w:sz w:val="13"/>
                <w:szCs w:val="13"/>
                <w:color w:val="auto"/>
              </w:rPr>
            </w:pPr>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81">
              <w:r>
                <w:rPr>
                  <w:rFonts w:ascii="Arial" w:cs="Arial" w:eastAsia="Arial" w:hAnsi="Arial"/>
                  <w:sz w:val="14"/>
                  <w:szCs w:val="14"/>
                  <w:color w:val="0000FF"/>
                  <w:w w:val="89"/>
                </w:rPr>
                <w:t>81</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rPr>
            </w:pPr>
            <w:hyperlink w:anchor="page81">
              <w:r>
                <w:rPr>
                  <w:rFonts w:ascii="Arial" w:cs="Arial" w:eastAsia="Arial" w:hAnsi="Arial"/>
                  <w:sz w:val="14"/>
                  <w:szCs w:val="14"/>
                  <w:color w:val="0000FF"/>
                </w:rPr>
                <w:t>Item 7.</w:t>
              </w:r>
            </w:hyperlink>
          </w:p>
        </w:tc>
        <w:tc>
          <w:tcPr>
            <w:tcW w:w="720" w:type="dxa"/>
            <w:vAlign w:val="bottom"/>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81">
              <w:r>
                <w:rPr>
                  <w:rFonts w:ascii="Arial" w:cs="Arial" w:eastAsia="Arial" w:hAnsi="Arial"/>
                  <w:sz w:val="14"/>
                  <w:szCs w:val="14"/>
                  <w:color w:val="0000FF"/>
                </w:rPr>
                <w:t>Management’s Discussion and Analysis of Financial Condition and Results of Operations</w:t>
              </w:r>
            </w:hyperlink>
          </w:p>
        </w:tc>
        <w:tc>
          <w:tcPr>
            <w:tcW w:w="560" w:type="dxa"/>
            <w:vAlign w:val="bottom"/>
            <w:gridSpan w:val="3"/>
          </w:tcPr>
          <w:p>
            <w:pPr>
              <w:jc w:val="center"/>
              <w:ind w:left="352"/>
              <w:spacing w:after="0" w:line="155" w:lineRule="exact"/>
              <w:rPr>
                <w:rFonts w:ascii="Arial" w:cs="Arial" w:eastAsia="Arial" w:hAnsi="Arial"/>
                <w:sz w:val="14"/>
                <w:szCs w:val="14"/>
                <w:color w:val="0000FF"/>
                <w:w w:val="89"/>
              </w:rPr>
            </w:pPr>
            <w:hyperlink w:anchor="page81">
              <w:r>
                <w:rPr>
                  <w:rFonts w:ascii="Arial" w:cs="Arial" w:eastAsia="Arial" w:hAnsi="Arial"/>
                  <w:sz w:val="14"/>
                  <w:szCs w:val="14"/>
                  <w:color w:val="0000FF"/>
                  <w:w w:val="89"/>
                </w:rPr>
                <w:t>81</w:t>
              </w:r>
            </w:hyperlink>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w w:val="84"/>
              </w:rPr>
            </w:pPr>
            <w:hyperlink w:anchor="page119">
              <w:r>
                <w:rPr>
                  <w:rFonts w:ascii="Arial" w:cs="Arial" w:eastAsia="Arial" w:hAnsi="Arial"/>
                  <w:sz w:val="14"/>
                  <w:szCs w:val="14"/>
                  <w:color w:val="0000FF"/>
                  <w:w w:val="84"/>
                </w:rPr>
                <w:t>Item 7A.</w:t>
              </w:r>
            </w:hyperlink>
          </w:p>
        </w:tc>
        <w:tc>
          <w:tcPr>
            <w:tcW w:w="720" w:type="dxa"/>
            <w:vAlign w:val="bottom"/>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119">
              <w:r>
                <w:rPr>
                  <w:rFonts w:ascii="Arial" w:cs="Arial" w:eastAsia="Arial" w:hAnsi="Arial"/>
                  <w:sz w:val="14"/>
                  <w:szCs w:val="14"/>
                  <w:color w:val="0000FF"/>
                </w:rPr>
                <w:t>Quantitative and Qualitative Disclosures About Market Risk</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19">
              <w:r>
                <w:rPr>
                  <w:rFonts w:ascii="Arial" w:cs="Arial" w:eastAsia="Arial" w:hAnsi="Arial"/>
                  <w:sz w:val="14"/>
                  <w:szCs w:val="14"/>
                  <w:color w:val="0000FF"/>
                  <w:w w:val="93"/>
                </w:rPr>
                <w:t>119</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tcBorders>
              <w:bottom w:val="single" w:sz="8" w:color="0000FF"/>
            </w:tcBorders>
            <w:gridSpan w:val="2"/>
          </w:tcPr>
          <w:p>
            <w:pPr>
              <w:spacing w:after="0" w:line="155" w:lineRule="exact"/>
              <w:rPr>
                <w:rFonts w:ascii="Arial" w:cs="Arial" w:eastAsia="Arial" w:hAnsi="Arial"/>
                <w:sz w:val="14"/>
                <w:szCs w:val="14"/>
                <w:color w:val="0000FF"/>
              </w:rPr>
            </w:pPr>
            <w:hyperlink w:anchor="page120">
              <w:r>
                <w:rPr>
                  <w:rFonts w:ascii="Arial" w:cs="Arial" w:eastAsia="Arial" w:hAnsi="Arial"/>
                  <w:sz w:val="14"/>
                  <w:szCs w:val="14"/>
                  <w:color w:val="0000FF"/>
                </w:rPr>
                <w:t>Item 8.</w:t>
              </w:r>
            </w:hyperlink>
          </w:p>
        </w:tc>
        <w:tc>
          <w:tcPr>
            <w:tcW w:w="720" w:type="dxa"/>
            <w:vAlign w:val="bottom"/>
          </w:tcPr>
          <w:p>
            <w:pPr>
              <w:spacing w:after="0"/>
              <w:rPr>
                <w:sz w:val="13"/>
                <w:szCs w:val="13"/>
                <w:color w:val="auto"/>
              </w:rPr>
            </w:pPr>
          </w:p>
        </w:tc>
        <w:tc>
          <w:tcPr>
            <w:tcW w:w="2840" w:type="dxa"/>
            <w:vAlign w:val="bottom"/>
            <w:tcBorders>
              <w:bottom w:val="single" w:sz="8" w:color="0000FF"/>
            </w:tcBorders>
            <w:gridSpan w:val="12"/>
          </w:tcPr>
          <w:p>
            <w:pPr>
              <w:spacing w:after="0" w:line="155" w:lineRule="exact"/>
              <w:rPr>
                <w:rFonts w:ascii="Arial" w:cs="Arial" w:eastAsia="Arial" w:hAnsi="Arial"/>
                <w:sz w:val="14"/>
                <w:szCs w:val="14"/>
                <w:color w:val="0000FF"/>
                <w:w w:val="97"/>
              </w:rPr>
            </w:pPr>
            <w:hyperlink w:anchor="page120">
              <w:r>
                <w:rPr>
                  <w:rFonts w:ascii="Arial" w:cs="Arial" w:eastAsia="Arial" w:hAnsi="Arial"/>
                  <w:sz w:val="14"/>
                  <w:szCs w:val="14"/>
                  <w:color w:val="0000FF"/>
                  <w:w w:val="97"/>
                </w:rPr>
                <w:t>Financial Statements and Supplementary Data</w:t>
              </w:r>
            </w:hyperlink>
          </w:p>
        </w:tc>
        <w:tc>
          <w:tcPr>
            <w:tcW w:w="740" w:type="dxa"/>
            <w:vAlign w:val="bottom"/>
            <w:gridSpan w:val="2"/>
          </w:tcPr>
          <w:p>
            <w:pPr>
              <w:spacing w:after="0"/>
              <w:rPr>
                <w:sz w:val="13"/>
                <w:szCs w:val="13"/>
                <w:color w:val="auto"/>
              </w:rPr>
            </w:pPr>
          </w:p>
        </w:tc>
        <w:tc>
          <w:tcPr>
            <w:tcW w:w="5500" w:type="dxa"/>
            <w:vAlign w:val="bottom"/>
            <w:gridSpan w:val="14"/>
          </w:tcPr>
          <w:p>
            <w:pPr>
              <w:spacing w:after="0"/>
              <w:rPr>
                <w:sz w:val="13"/>
                <w:szCs w:val="13"/>
                <w:color w:val="auto"/>
              </w:rPr>
            </w:pPr>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20">
              <w:r>
                <w:rPr>
                  <w:rFonts w:ascii="Arial" w:cs="Arial" w:eastAsia="Arial" w:hAnsi="Arial"/>
                  <w:sz w:val="14"/>
                  <w:szCs w:val="14"/>
                  <w:color w:val="0000FF"/>
                  <w:w w:val="93"/>
                </w:rPr>
                <w:t>121</w:t>
              </w:r>
            </w:hyperlink>
          </w:p>
        </w:tc>
        <w:tc>
          <w:tcPr>
            <w:tcW w:w="0" w:type="dxa"/>
            <w:vAlign w:val="bottom"/>
          </w:tcPr>
          <w:p>
            <w:pPr>
              <w:spacing w:after="0"/>
              <w:rPr>
                <w:sz w:val="1"/>
                <w:szCs w:val="1"/>
                <w:color w:val="auto"/>
              </w:rPr>
            </w:pPr>
          </w:p>
        </w:tc>
      </w:tr>
      <w:tr>
        <w:trPr>
          <w:trHeight w:val="154"/>
        </w:trPr>
        <w:tc>
          <w:tcPr>
            <w:tcW w:w="380" w:type="dxa"/>
            <w:vAlign w:val="bottom"/>
          </w:tcPr>
          <w:p>
            <w:pPr>
              <w:spacing w:after="0" w:line="155" w:lineRule="exact"/>
              <w:rPr>
                <w:rFonts w:ascii="Arial" w:cs="Arial" w:eastAsia="Arial" w:hAnsi="Arial"/>
                <w:sz w:val="14"/>
                <w:szCs w:val="14"/>
                <w:color w:val="0000FF"/>
                <w:w w:val="79"/>
              </w:rPr>
            </w:pPr>
            <w:hyperlink w:anchor="page175">
              <w:r>
                <w:rPr>
                  <w:rFonts w:ascii="Arial" w:cs="Arial" w:eastAsia="Arial" w:hAnsi="Arial"/>
                  <w:sz w:val="14"/>
                  <w:szCs w:val="14"/>
                  <w:color w:val="0000FF"/>
                  <w:w w:val="79"/>
                </w:rPr>
                <w:t>Item 9.</w:t>
              </w:r>
            </w:hyperlink>
          </w:p>
        </w:tc>
        <w:tc>
          <w:tcPr>
            <w:tcW w:w="820" w:type="dxa"/>
            <w:vAlign w:val="bottom"/>
            <w:gridSpan w:val="2"/>
          </w:tcPr>
          <w:p>
            <w:pPr>
              <w:spacing w:after="0"/>
              <w:rPr>
                <w:sz w:val="13"/>
                <w:szCs w:val="13"/>
                <w:color w:val="auto"/>
              </w:rPr>
            </w:pPr>
          </w:p>
        </w:tc>
        <w:tc>
          <w:tcPr>
            <w:tcW w:w="5460" w:type="dxa"/>
            <w:vAlign w:val="bottom"/>
            <w:gridSpan w:val="25"/>
          </w:tcPr>
          <w:p>
            <w:pPr>
              <w:spacing w:after="0" w:line="155" w:lineRule="exact"/>
              <w:rPr>
                <w:rFonts w:ascii="Arial" w:cs="Arial" w:eastAsia="Arial" w:hAnsi="Arial"/>
                <w:sz w:val="14"/>
                <w:szCs w:val="14"/>
                <w:color w:val="0000FF"/>
                <w:w w:val="97"/>
              </w:rPr>
            </w:pPr>
            <w:hyperlink w:anchor="page175">
              <w:r>
                <w:rPr>
                  <w:rFonts w:ascii="Arial" w:cs="Arial" w:eastAsia="Arial" w:hAnsi="Arial"/>
                  <w:sz w:val="14"/>
                  <w:szCs w:val="14"/>
                  <w:color w:val="0000FF"/>
                  <w:w w:val="97"/>
                </w:rPr>
                <w:t>Changes in and Disagreements With Accountants on Accounting and Financial Disclosure</w:t>
              </w:r>
            </w:hyperlink>
          </w:p>
        </w:tc>
        <w:tc>
          <w:tcPr>
            <w:tcW w:w="3620" w:type="dxa"/>
            <w:vAlign w:val="bottom"/>
            <w:gridSpan w:val="3"/>
          </w:tcPr>
          <w:p>
            <w:pPr>
              <w:spacing w:after="0"/>
              <w:rPr>
                <w:sz w:val="13"/>
                <w:szCs w:val="13"/>
                <w:color w:val="auto"/>
              </w:rPr>
            </w:pPr>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5">
              <w:r>
                <w:rPr>
                  <w:rFonts w:ascii="Arial" w:cs="Arial" w:eastAsia="Arial" w:hAnsi="Arial"/>
                  <w:sz w:val="14"/>
                  <w:szCs w:val="14"/>
                  <w:color w:val="0000FF"/>
                  <w:w w:val="93"/>
                </w:rPr>
                <w:t>176</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w w:val="84"/>
              </w:rPr>
            </w:pPr>
            <w:hyperlink w:anchor="page176">
              <w:r>
                <w:rPr>
                  <w:rFonts w:ascii="Arial" w:cs="Arial" w:eastAsia="Arial" w:hAnsi="Arial"/>
                  <w:sz w:val="14"/>
                  <w:szCs w:val="14"/>
                  <w:color w:val="0000FF"/>
                  <w:w w:val="84"/>
                </w:rPr>
                <w:t>Item 9A.</w:t>
              </w:r>
            </w:hyperlink>
          </w:p>
        </w:tc>
        <w:tc>
          <w:tcPr>
            <w:tcW w:w="720" w:type="dxa"/>
            <w:vAlign w:val="bottom"/>
          </w:tcPr>
          <w:p>
            <w:pPr>
              <w:spacing w:after="0"/>
              <w:rPr>
                <w:sz w:val="13"/>
                <w:szCs w:val="13"/>
                <w:color w:val="auto"/>
              </w:rPr>
            </w:pPr>
          </w:p>
        </w:tc>
        <w:tc>
          <w:tcPr>
            <w:tcW w:w="1520" w:type="dxa"/>
            <w:vAlign w:val="bottom"/>
            <w:gridSpan w:val="8"/>
          </w:tcPr>
          <w:p>
            <w:pPr>
              <w:spacing w:after="0" w:line="155" w:lineRule="exact"/>
              <w:rPr>
                <w:rFonts w:ascii="Arial" w:cs="Arial" w:eastAsia="Arial" w:hAnsi="Arial"/>
                <w:sz w:val="14"/>
                <w:szCs w:val="14"/>
                <w:color w:val="0000FF"/>
                <w:w w:val="96"/>
              </w:rPr>
            </w:pPr>
            <w:hyperlink w:anchor="page176">
              <w:r>
                <w:rPr>
                  <w:rFonts w:ascii="Arial" w:cs="Arial" w:eastAsia="Arial" w:hAnsi="Arial"/>
                  <w:sz w:val="14"/>
                  <w:szCs w:val="14"/>
                  <w:color w:val="0000FF"/>
                  <w:w w:val="96"/>
                </w:rPr>
                <w:t>Controls and Procedures</w:t>
              </w:r>
            </w:hyperlink>
          </w:p>
        </w:tc>
        <w:tc>
          <w:tcPr>
            <w:tcW w:w="7560" w:type="dxa"/>
            <w:vAlign w:val="bottom"/>
            <w:gridSpan w:val="20"/>
          </w:tcPr>
          <w:p>
            <w:pPr>
              <w:spacing w:after="0"/>
              <w:rPr>
                <w:sz w:val="13"/>
                <w:szCs w:val="13"/>
                <w:color w:val="auto"/>
              </w:rPr>
            </w:pPr>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6">
              <w:r>
                <w:rPr>
                  <w:rFonts w:ascii="Arial" w:cs="Arial" w:eastAsia="Arial" w:hAnsi="Arial"/>
                  <w:sz w:val="14"/>
                  <w:szCs w:val="14"/>
                  <w:color w:val="0000FF"/>
                  <w:w w:val="93"/>
                </w:rPr>
                <w:t>176</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w w:val="84"/>
              </w:rPr>
            </w:pPr>
            <w:hyperlink w:anchor="page176">
              <w:r>
                <w:rPr>
                  <w:rFonts w:ascii="Arial" w:cs="Arial" w:eastAsia="Arial" w:hAnsi="Arial"/>
                  <w:sz w:val="14"/>
                  <w:szCs w:val="14"/>
                  <w:color w:val="0000FF"/>
                  <w:w w:val="84"/>
                </w:rPr>
                <w:t>Item 9B.</w:t>
              </w:r>
            </w:hyperlink>
          </w:p>
        </w:tc>
        <w:tc>
          <w:tcPr>
            <w:tcW w:w="720" w:type="dxa"/>
            <w:vAlign w:val="bottom"/>
          </w:tcPr>
          <w:p>
            <w:pPr>
              <w:spacing w:after="0"/>
              <w:rPr>
                <w:sz w:val="13"/>
                <w:szCs w:val="13"/>
                <w:color w:val="auto"/>
              </w:rPr>
            </w:pPr>
          </w:p>
        </w:tc>
        <w:tc>
          <w:tcPr>
            <w:tcW w:w="1520" w:type="dxa"/>
            <w:vAlign w:val="bottom"/>
            <w:gridSpan w:val="8"/>
          </w:tcPr>
          <w:p>
            <w:pPr>
              <w:spacing w:after="0" w:line="155" w:lineRule="exact"/>
              <w:rPr>
                <w:rFonts w:ascii="Arial" w:cs="Arial" w:eastAsia="Arial" w:hAnsi="Arial"/>
                <w:sz w:val="14"/>
                <w:szCs w:val="14"/>
                <w:color w:val="0000FF"/>
              </w:rPr>
            </w:pPr>
            <w:hyperlink w:anchor="page176">
              <w:r>
                <w:rPr>
                  <w:rFonts w:ascii="Arial" w:cs="Arial" w:eastAsia="Arial" w:hAnsi="Arial"/>
                  <w:sz w:val="14"/>
                  <w:szCs w:val="14"/>
                  <w:color w:val="0000FF"/>
                </w:rPr>
                <w:t>Other Information</w:t>
              </w:r>
            </w:hyperlink>
          </w:p>
        </w:tc>
        <w:tc>
          <w:tcPr>
            <w:tcW w:w="7560" w:type="dxa"/>
            <w:vAlign w:val="bottom"/>
            <w:gridSpan w:val="20"/>
          </w:tcPr>
          <w:p>
            <w:pPr>
              <w:spacing w:after="0"/>
              <w:rPr>
                <w:sz w:val="13"/>
                <w:szCs w:val="13"/>
                <w:color w:val="auto"/>
              </w:rPr>
            </w:pPr>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6">
              <w:r>
                <w:rPr>
                  <w:rFonts w:ascii="Arial" w:cs="Arial" w:eastAsia="Arial" w:hAnsi="Arial"/>
                  <w:sz w:val="14"/>
                  <w:szCs w:val="14"/>
                  <w:color w:val="0000FF"/>
                  <w:w w:val="93"/>
                </w:rPr>
                <w:t>176</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line="155" w:lineRule="exact"/>
              <w:rPr>
                <w:rFonts w:ascii="Arial" w:cs="Arial" w:eastAsia="Arial" w:hAnsi="Arial"/>
                <w:sz w:val="14"/>
                <w:szCs w:val="14"/>
                <w:color w:val="0000FF"/>
                <w:w w:val="83"/>
              </w:rPr>
            </w:pPr>
            <w:hyperlink w:anchor="page176">
              <w:r>
                <w:rPr>
                  <w:rFonts w:ascii="Arial" w:cs="Arial" w:eastAsia="Arial" w:hAnsi="Arial"/>
                  <w:sz w:val="14"/>
                  <w:szCs w:val="14"/>
                  <w:color w:val="0000FF"/>
                  <w:w w:val="83"/>
                </w:rPr>
                <w:t>Item 9C.</w:t>
              </w:r>
            </w:hyperlink>
          </w:p>
        </w:tc>
        <w:tc>
          <w:tcPr>
            <w:tcW w:w="720" w:type="dxa"/>
            <w:vAlign w:val="bottom"/>
          </w:tcPr>
          <w:p>
            <w:pPr>
              <w:spacing w:after="0"/>
              <w:rPr>
                <w:sz w:val="13"/>
                <w:szCs w:val="13"/>
                <w:color w:val="auto"/>
              </w:rPr>
            </w:pPr>
          </w:p>
        </w:tc>
        <w:tc>
          <w:tcPr>
            <w:tcW w:w="9080" w:type="dxa"/>
            <w:vAlign w:val="bottom"/>
            <w:gridSpan w:val="28"/>
          </w:tcPr>
          <w:p>
            <w:pPr>
              <w:spacing w:after="0" w:line="155" w:lineRule="exact"/>
              <w:rPr>
                <w:rFonts w:ascii="Arial" w:cs="Arial" w:eastAsia="Arial" w:hAnsi="Arial"/>
                <w:sz w:val="14"/>
                <w:szCs w:val="14"/>
                <w:color w:val="0000FF"/>
              </w:rPr>
            </w:pPr>
            <w:hyperlink w:anchor="page176">
              <w:r>
                <w:rPr>
                  <w:rFonts w:ascii="Arial" w:cs="Arial" w:eastAsia="Arial" w:hAnsi="Arial"/>
                  <w:sz w:val="14"/>
                  <w:szCs w:val="14"/>
                  <w:color w:val="0000FF"/>
                </w:rPr>
                <w:t>Disclosure Regarding Foreign Jurisdictions that Prevent Inspections</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6">
              <w:r>
                <w:rPr>
                  <w:rFonts w:ascii="Arial" w:cs="Arial" w:eastAsia="Arial" w:hAnsi="Arial"/>
                  <w:sz w:val="14"/>
                  <w:szCs w:val="14"/>
                  <w:color w:val="0000FF"/>
                  <w:w w:val="93"/>
                </w:rPr>
                <w:t>176</w:t>
              </w:r>
            </w:hyperlink>
          </w:p>
        </w:tc>
        <w:tc>
          <w:tcPr>
            <w:tcW w:w="0" w:type="dxa"/>
            <w:vAlign w:val="bottom"/>
          </w:tcPr>
          <w:p>
            <w:pPr>
              <w:spacing w:after="0"/>
              <w:rPr>
                <w:sz w:val="1"/>
                <w:szCs w:val="1"/>
                <w:color w:val="auto"/>
              </w:rPr>
            </w:pPr>
          </w:p>
        </w:tc>
      </w:tr>
      <w:tr>
        <w:trPr>
          <w:trHeight w:val="154"/>
        </w:trPr>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760" w:type="dxa"/>
            <w:vAlign w:val="bottom"/>
            <w:gridSpan w:val="12"/>
          </w:tcPr>
          <w:p>
            <w:pPr>
              <w:jc w:val="center"/>
              <w:ind w:right="4340"/>
              <w:spacing w:after="0" w:line="155" w:lineRule="exact"/>
              <w:rPr>
                <w:rFonts w:ascii="Arial" w:cs="Arial" w:eastAsia="Arial" w:hAnsi="Arial"/>
                <w:sz w:val="14"/>
                <w:szCs w:val="14"/>
                <w:b w:val="1"/>
                <w:bCs w:val="1"/>
                <w:color w:val="0000FF"/>
                <w:w w:val="98"/>
              </w:rPr>
            </w:pPr>
            <w:hyperlink w:anchor="page176">
              <w:r>
                <w:rPr>
                  <w:rFonts w:ascii="Arial" w:cs="Arial" w:eastAsia="Arial" w:hAnsi="Arial"/>
                  <w:sz w:val="14"/>
                  <w:szCs w:val="14"/>
                  <w:b w:val="1"/>
                  <w:bCs w:val="1"/>
                  <w:color w:val="0000FF"/>
                  <w:w w:val="98"/>
                </w:rPr>
                <w:t>Part III</w:t>
              </w:r>
            </w:hyperlink>
          </w:p>
        </w:tc>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Item 10.</w:t>
              </w:r>
            </w:hyperlink>
          </w:p>
        </w:tc>
        <w:tc>
          <w:tcPr>
            <w:tcW w:w="4320" w:type="dxa"/>
            <w:vAlign w:val="bottom"/>
            <w:gridSpan w:val="16"/>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Directors, Executive Officers and Corporate Governance</w:t>
              </w:r>
            </w:hyperlink>
          </w:p>
        </w:tc>
        <w:tc>
          <w:tcPr>
            <w:tcW w:w="420" w:type="dxa"/>
            <w:vAlign w:val="bottom"/>
            <w:tcBorders>
              <w:top w:val="single" w:sz="8" w:color="0000FF"/>
            </w:tcBorders>
            <w:gridSpan w:val="6"/>
          </w:tcPr>
          <w:p>
            <w:pPr>
              <w:spacing w:after="0"/>
              <w:rPr>
                <w:sz w:val="13"/>
                <w:szCs w:val="13"/>
                <w:color w:val="auto"/>
              </w:rPr>
            </w:pPr>
          </w:p>
        </w:tc>
        <w:tc>
          <w:tcPr>
            <w:tcW w:w="4340" w:type="dxa"/>
            <w:vAlign w:val="bottom"/>
            <w:gridSpan w:val="6"/>
          </w:tcPr>
          <w:p>
            <w:pPr>
              <w:spacing w:after="0"/>
              <w:rPr>
                <w:sz w:val="13"/>
                <w:szCs w:val="13"/>
                <w:color w:val="auto"/>
              </w:rPr>
            </w:pPr>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7">
              <w:r>
                <w:rPr>
                  <w:rFonts w:ascii="Arial" w:cs="Arial" w:eastAsia="Arial" w:hAnsi="Arial"/>
                  <w:sz w:val="14"/>
                  <w:szCs w:val="14"/>
                  <w:color w:val="0000FF"/>
                  <w:w w:val="93"/>
                </w:rPr>
                <w:t>177</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Item 11.</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Executive Compensation</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7">
              <w:r>
                <w:rPr>
                  <w:rFonts w:ascii="Arial" w:cs="Arial" w:eastAsia="Arial" w:hAnsi="Arial"/>
                  <w:sz w:val="14"/>
                  <w:szCs w:val="14"/>
                  <w:color w:val="0000FF"/>
                  <w:w w:val="93"/>
                </w:rPr>
                <w:t>177</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Item 12.</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Security Ownership of Certain Beneficial Owners and Management and Related Stockholder Matters</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7">
              <w:r>
                <w:rPr>
                  <w:rFonts w:ascii="Arial" w:cs="Arial" w:eastAsia="Arial" w:hAnsi="Arial"/>
                  <w:sz w:val="14"/>
                  <w:szCs w:val="14"/>
                  <w:color w:val="0000FF"/>
                  <w:w w:val="93"/>
                </w:rPr>
                <w:t>177</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Item 13.</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Certain Relationships and Related Transactions, and Director Independence</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7">
              <w:r>
                <w:rPr>
                  <w:rFonts w:ascii="Arial" w:cs="Arial" w:eastAsia="Arial" w:hAnsi="Arial"/>
                  <w:sz w:val="14"/>
                  <w:szCs w:val="14"/>
                  <w:color w:val="0000FF"/>
                  <w:w w:val="93"/>
                </w:rPr>
                <w:t>177</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Item 14.</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177">
              <w:r>
                <w:rPr>
                  <w:rFonts w:ascii="Arial" w:cs="Arial" w:eastAsia="Arial" w:hAnsi="Arial"/>
                  <w:sz w:val="14"/>
                  <w:szCs w:val="14"/>
                  <w:color w:val="0000FF"/>
                </w:rPr>
                <w:t>Principal Accounting Fees and Services</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7">
              <w:r>
                <w:rPr>
                  <w:rFonts w:ascii="Arial" w:cs="Arial" w:eastAsia="Arial" w:hAnsi="Arial"/>
                  <w:sz w:val="14"/>
                  <w:szCs w:val="14"/>
                  <w:color w:val="0000FF"/>
                  <w:w w:val="93"/>
                </w:rPr>
                <w:t>177</w:t>
              </w:r>
            </w:hyperlink>
          </w:p>
        </w:tc>
        <w:tc>
          <w:tcPr>
            <w:tcW w:w="0" w:type="dxa"/>
            <w:vAlign w:val="bottom"/>
          </w:tcPr>
          <w:p>
            <w:pPr>
              <w:spacing w:after="0"/>
              <w:rPr>
                <w:sz w:val="1"/>
                <w:szCs w:val="1"/>
                <w:color w:val="auto"/>
              </w:rPr>
            </w:pPr>
          </w:p>
        </w:tc>
      </w:tr>
      <w:tr>
        <w:trPr>
          <w:trHeight w:val="154"/>
        </w:trPr>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Borders>
              <w:bottom w:val="single" w:sz="8" w:color="0000FF"/>
            </w:tcBorders>
            <w:gridSpan w:val="7"/>
          </w:tcPr>
          <w:p>
            <w:pPr>
              <w:jc w:val="center"/>
              <w:spacing w:after="0" w:line="155" w:lineRule="exact"/>
              <w:rPr>
                <w:rFonts w:ascii="Arial" w:cs="Arial" w:eastAsia="Arial" w:hAnsi="Arial"/>
                <w:sz w:val="14"/>
                <w:szCs w:val="14"/>
                <w:b w:val="1"/>
                <w:bCs w:val="1"/>
                <w:color w:val="0000FF"/>
                <w:w w:val="99"/>
              </w:rPr>
            </w:pPr>
            <w:hyperlink w:anchor="page177">
              <w:r>
                <w:rPr>
                  <w:rFonts w:ascii="Arial" w:cs="Arial" w:eastAsia="Arial" w:hAnsi="Arial"/>
                  <w:sz w:val="14"/>
                  <w:szCs w:val="14"/>
                  <w:b w:val="1"/>
                  <w:bCs w:val="1"/>
                  <w:color w:val="0000FF"/>
                  <w:w w:val="99"/>
                </w:rPr>
                <w:t>Part IV</w:t>
              </w:r>
            </w:hyperlink>
          </w:p>
        </w:tc>
        <w:tc>
          <w:tcPr>
            <w:tcW w:w="4320" w:type="dxa"/>
            <w:vAlign w:val="bottom"/>
            <w:gridSpan w:val="5"/>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78">
              <w:r>
                <w:rPr>
                  <w:rFonts w:ascii="Arial" w:cs="Arial" w:eastAsia="Arial" w:hAnsi="Arial"/>
                  <w:sz w:val="14"/>
                  <w:szCs w:val="14"/>
                  <w:color w:val="0000FF"/>
                </w:rPr>
                <w:t>Item 15.</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178">
              <w:r>
                <w:rPr>
                  <w:rFonts w:ascii="Arial" w:cs="Arial" w:eastAsia="Arial" w:hAnsi="Arial"/>
                  <w:sz w:val="14"/>
                  <w:szCs w:val="14"/>
                  <w:color w:val="0000FF"/>
                </w:rPr>
                <w:t>Exhibits, Financial Statement Schedules</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78">
              <w:r>
                <w:rPr>
                  <w:rFonts w:ascii="Arial" w:cs="Arial" w:eastAsia="Arial" w:hAnsi="Arial"/>
                  <w:sz w:val="14"/>
                  <w:szCs w:val="14"/>
                  <w:color w:val="0000FF"/>
                  <w:w w:val="93"/>
                </w:rPr>
                <w:t>178</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6640" w:type="dxa"/>
            <w:vAlign w:val="bottom"/>
            <w:gridSpan w:val="1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00" w:type="dxa"/>
            <w:vAlign w:val="bottom"/>
            <w:gridSpan w:val="3"/>
          </w:tcPr>
          <w:p>
            <w:pPr>
              <w:spacing w:after="0" w:line="155" w:lineRule="exact"/>
              <w:rPr>
                <w:rFonts w:ascii="Arial" w:cs="Arial" w:eastAsia="Arial" w:hAnsi="Arial"/>
                <w:sz w:val="14"/>
                <w:szCs w:val="14"/>
                <w:color w:val="0000FF"/>
              </w:rPr>
            </w:pPr>
            <w:hyperlink w:anchor="page180">
              <w:r>
                <w:rPr>
                  <w:rFonts w:ascii="Arial" w:cs="Arial" w:eastAsia="Arial" w:hAnsi="Arial"/>
                  <w:sz w:val="14"/>
                  <w:szCs w:val="14"/>
                  <w:color w:val="0000FF"/>
                </w:rPr>
                <w:t>Item 16.</w:t>
              </w:r>
            </w:hyperlink>
          </w:p>
        </w:tc>
        <w:tc>
          <w:tcPr>
            <w:tcW w:w="9080" w:type="dxa"/>
            <w:vAlign w:val="bottom"/>
            <w:gridSpan w:val="28"/>
          </w:tcPr>
          <w:p>
            <w:pPr>
              <w:spacing w:after="0" w:line="155" w:lineRule="exact"/>
              <w:rPr>
                <w:rFonts w:ascii="Arial" w:cs="Arial" w:eastAsia="Arial" w:hAnsi="Arial"/>
                <w:sz w:val="14"/>
                <w:szCs w:val="14"/>
                <w:color w:val="0000FF"/>
              </w:rPr>
            </w:pPr>
            <w:hyperlink w:anchor="page180">
              <w:r>
                <w:rPr>
                  <w:rFonts w:ascii="Arial" w:cs="Arial" w:eastAsia="Arial" w:hAnsi="Arial"/>
                  <w:sz w:val="14"/>
                  <w:szCs w:val="14"/>
                  <w:color w:val="0000FF"/>
                </w:rPr>
                <w:t>Form 10–K Summary</w:t>
              </w:r>
            </w:hyperlink>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80">
              <w:r>
                <w:rPr>
                  <w:rFonts w:ascii="Arial" w:cs="Arial" w:eastAsia="Arial" w:hAnsi="Arial"/>
                  <w:sz w:val="14"/>
                  <w:szCs w:val="14"/>
                  <w:color w:val="0000FF"/>
                  <w:w w:val="93"/>
                </w:rPr>
                <w:t>180</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7780" w:type="dxa"/>
            <w:vAlign w:val="bottom"/>
            <w:gridSpan w:val="2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2"/>
          </w:tcPr>
          <w:p>
            <w:pPr>
              <w:spacing w:after="0" w:line="155" w:lineRule="exact"/>
              <w:rPr>
                <w:rFonts w:ascii="Arial" w:cs="Arial" w:eastAsia="Arial" w:hAnsi="Arial"/>
                <w:sz w:val="14"/>
                <w:szCs w:val="14"/>
                <w:color w:val="0000FF"/>
                <w:w w:val="86"/>
              </w:rPr>
            </w:pPr>
            <w:hyperlink w:anchor="page180">
              <w:r>
                <w:rPr>
                  <w:rFonts w:ascii="Arial" w:cs="Arial" w:eastAsia="Arial" w:hAnsi="Arial"/>
                  <w:sz w:val="14"/>
                  <w:szCs w:val="14"/>
                  <w:color w:val="0000FF"/>
                  <w:w w:val="86"/>
                </w:rPr>
                <w:t>Signatures</w:t>
              </w:r>
            </w:hyperlink>
          </w:p>
        </w:tc>
        <w:tc>
          <w:tcPr>
            <w:tcW w:w="680" w:type="dxa"/>
            <w:vAlign w:val="bottom"/>
            <w:gridSpan w:val="4"/>
          </w:tcPr>
          <w:p>
            <w:pPr>
              <w:spacing w:after="0"/>
              <w:rPr>
                <w:sz w:val="13"/>
                <w:szCs w:val="13"/>
                <w:color w:val="auto"/>
              </w:rPr>
            </w:pPr>
          </w:p>
        </w:tc>
        <w:tc>
          <w:tcPr>
            <w:tcW w:w="7780" w:type="dxa"/>
            <w:vAlign w:val="bottom"/>
            <w:gridSpan w:val="22"/>
          </w:tcPr>
          <w:p>
            <w:pPr>
              <w:spacing w:after="0"/>
              <w:rPr>
                <w:sz w:val="13"/>
                <w:szCs w:val="13"/>
                <w:color w:val="auto"/>
              </w:rPr>
            </w:pPr>
          </w:p>
        </w:tc>
        <w:tc>
          <w:tcPr>
            <w:tcW w:w="980" w:type="dxa"/>
            <w:vAlign w:val="bottom"/>
            <w:gridSpan w:val="4"/>
          </w:tcPr>
          <w:p>
            <w:pPr>
              <w:jc w:val="center"/>
              <w:spacing w:after="0" w:line="155" w:lineRule="exact"/>
              <w:rPr>
                <w:rFonts w:ascii="Arial" w:cs="Arial" w:eastAsia="Arial" w:hAnsi="Arial"/>
                <w:sz w:val="14"/>
                <w:szCs w:val="14"/>
                <w:color w:val="0000FF"/>
                <w:w w:val="93"/>
              </w:rPr>
            </w:pPr>
            <w:hyperlink w:anchor="page180">
              <w:r>
                <w:rPr>
                  <w:rFonts w:ascii="Arial" w:cs="Arial" w:eastAsia="Arial" w:hAnsi="Arial"/>
                  <w:sz w:val="14"/>
                  <w:szCs w:val="14"/>
                  <w:color w:val="0000FF"/>
                  <w:w w:val="93"/>
                </w:rPr>
                <w:t>181</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120015</wp:posOffset>
            </wp:positionV>
            <wp:extent cx="719074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42"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This Annual Report on Form 10-K, including Management’s Discussion and Analysis of Financial Condition and Results of Operations, contains “forward-looking statements” within the meaning of the Private Securities Litigation Reform Act. These forward-looking statements may address, among other things, our expected financial and operational results, the related assumptions underlying our expected results and the quotations of management. These forward-looking statements are distinguished by use of words such as “will,” “would,” “anticipate,” “expect,” “believe,” “designed,” “plan,” or “intend,” the negative of these terms and similar references to future periods. These views involve risks and uncertainties that are difficult to predict and, accordingly, our actual results may differ materially from the results discussed in our forward-looking statements. Our forward-looking statements contained herein speak only as of the date of this annual report. Factors or events that we cannot predict, including uncertainty around Covid-19 and it’s variants or the effects of government and other measures seeking to contain its spread, risks related to an economic downturn or recession in the United States and in other countries around the world, changes in political, business, regulatory, and economic conditions and other risk factors described under the heading “Item 1A. Risk Factors” in this Annual Report and contained in our other filings with the Securities and Exchange Commission, may cause our actual results to differ from those expressed in forward-looking statements. Although Enact believes the expectations reflected in such forward-looking statements are based on reasonable assumptions, the Company can give no assurance that its expectations will be achieved and it undertakes no obligation to update publicly any forward-looking statements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are a leading private mortgage insurance company serving the United States housing finance market since 1981 with a mission to help people buy a house and keep it their home. We operate in all 50 states and the District of Columbia. Our principal mortgage insurance customers are originators of residential mortgage loans who typically determine which mortgage insurer or insurers they will use for the placement of mortgage insurance written on loans they originate.</w:t>
      </w:r>
    </w:p>
    <w:p>
      <w:pPr>
        <w:spacing w:after="0" w:line="120"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3"/>
          <w:szCs w:val="13"/>
          <w:color w:val="auto"/>
        </w:rPr>
        <w:t>As a private mortgage insurer, we play a critical role in the United States housing finance system. We are engaged in the business of writing and assuming residential mortgage guaranty insurance. The insurance covers a portion of the unpaid principal balance of Low-Down Payment Loans and protects lenders and investors against certain losses resulting from nonpayment of loans secured by mortgages, deeds of trust, or other instruments constituting a first lien on residential real estate. We facilitate the sale of mortgages to the secondary market, including to private investors as well as the Federal National Mortgage Association (“Fannie Mae”) and the Federal Home Loan Mortgage Corporation (“Freddie Mac”). Fannie Mae and Freddie Mac are government-sponsored enterprises and are collectively referred to as the “GSEs.” Credit protection and liquidity through secondary market sales allow mortgage lenders to increase their lending capacity, manage risk and expand financing access to prospective homeowners, many of whom are first time home buyers (“FTHBs”).</w:t>
      </w:r>
    </w:p>
    <w:p>
      <w:pPr>
        <w:spacing w:after="0" w:line="10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have a large and diverse customer base maintaining enduring relationships across the mortgage origination market, including with national banks, non-bank mortgage lenders, local mortgage bankers, community banks and credit unions. In both 2021 and 2020, we provided new insurance coverage to approximately 1,800 customers. For the full years ended December 31, 2021, 2020 and 2019 we generated new insurance written (“NIW”) of $97.0 billion $99.9 billion and $62.4 billion, respectively. Net income was $547 million and $370 million in 2021 and 2020, respectively. Adjusted operating income was $551 million and $373 million for 2021 and 2020, respectively.</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have a rigorous approach to writing new insurance risk based on decades of loan-level data and experience in the mortgage insurance industry. We believe our balance sheet is well capitalized to manage through macroeconomic uncertainty and maintain compliance with private mortgage insurer eligibility requirements (“PMIERs”) and state regulatory standards of compliance. We utilize our credit risk transfer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2021, we had a published PMIERs sufficiency ratio of 165%, representing $2,003 million of available assets above the published PMIERs requirement and approximately 92% of our insured portfolio was covered by our CRT program. Our PMIERs sufficiency ratio, which is based on the published requirements applicable to private mortgage insurers, was above the requirement imposed by the GSE Restrictions of 115% in 2021.</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Information</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Enact Holdings, Inc. (“EHI,” together with its subsidiaries, the “Company,” “we,” “us,” or “our”) (formerly known as Genworth Mortgage Holdings, Inc.) was a wholly owned subsidiary of Genworth Financial, Inc. (“Genworth” or “Parent”) since EHI’s incorporation in Delaware in 2012 until our initial public offering on September 20, 2021.</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May 3, 2021, EHI amended its certificate of incorporation to change its name from Genworth Mortgage Holdings, Inc. This amendment also authorized EHI to issue 600,000,000 shares of common stock, each having a par value of $0.01 per share. Concurrently, we entered into a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14"/>
          <w:szCs w:val="14"/>
          <w:color w:val="auto"/>
        </w:rPr>
        <w:t>agreement with Genworth Holdings, Inc. (“Genworth Holdings”), pursuant to which Genworth Holdings exchanged the 100 shares of our common stock owned by it, representing all of our issued and outstanding capital stock, for 162,840,000 newly-issued shares of common stock, par value $0.01, of EHI.</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September 15, 2021, we priced our initial public offering (“IPO”) of common stock, which resulted in the issuance and sale of 13,310,400 shares of common stock at the IPO price of $19.00 per common share. All shares were offered by the selling stockholder, our parent company, Genworth Holdings. In addition to the shares sold in the IPO, 14,655,600 common shares were sold in a concurrent private sale (“Private Sale”) at a price per share of $17.86, which is equal to the IPO price less the underwriting discount share. Genworth Holdings also granted the underwriters a 30-day option to purchase up to an additional 1,996,560 common shares (“Over-Allotment Option”) at the IPO price less the underwriting discount. On September 16, 2021, the underwriters exercised their option to purchase all 1,996,560 common shares permitted under the terms of the underwriting agreement. The IPO, Private Sale, and Over-Allotment Option (collectively the “Offering”) closed on September 20, 2021, and Genworth Holdings retained all net proceeds from the Offering.</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operate a majority of our business through our primary insurance subsidiary, Genworth Mortgage Insurance Corporation (“GMICO”). GMICO is an approved insurer by the GSEs. GMICO has been re-named Enact Mortgage Insurance Corporation effective February 7, 2022. Our operations are all domestic with the exception of a run-off insurance block with reference properties in Mexico (“run-off business”), which is immaterial to our results.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objective is to support our mission to help people buy a house and keep it their home, while leveraging our competitive strengths to maximize value for our stockholders. This strategy is based on the following priorities: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Differentiate Enact from competitors</w:t>
      </w:r>
    </w:p>
    <w:p>
      <w:pPr>
        <w:spacing w:after="0" w:line="140" w:lineRule="exact"/>
        <w:rPr>
          <w:sz w:val="20"/>
          <w:szCs w:val="20"/>
          <w:color w:val="auto"/>
        </w:rPr>
      </w:pPr>
    </w:p>
    <w:p>
      <w:pPr>
        <w:ind w:left="500" w:hanging="25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Strive to deliver best-in-class underwriting to well-established, deep and diversified customer base.</w:t>
      </w:r>
    </w:p>
    <w:p>
      <w:pPr>
        <w:spacing w:after="0" w:line="85" w:lineRule="exact"/>
        <w:rPr>
          <w:rFonts w:ascii="Arial" w:cs="Arial" w:eastAsia="Arial" w:hAnsi="Arial"/>
          <w:sz w:val="14"/>
          <w:szCs w:val="14"/>
          <w:color w:val="auto"/>
        </w:rPr>
      </w:pPr>
    </w:p>
    <w:p>
      <w:pPr>
        <w:ind w:left="500" w:hanging="25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 to increase differentiation, drive efficiencies, and enhance decision-making.</w:t>
      </w:r>
    </w:p>
    <w:p>
      <w:pPr>
        <w:spacing w:after="0" w:line="85" w:lineRule="exact"/>
        <w:rPr>
          <w:rFonts w:ascii="Arial" w:cs="Arial" w:eastAsia="Arial" w:hAnsi="Arial"/>
          <w:sz w:val="14"/>
          <w:szCs w:val="14"/>
          <w:color w:val="auto"/>
        </w:rPr>
      </w:pPr>
    </w:p>
    <w:p>
      <w:pPr>
        <w:ind w:left="500" w:hanging="25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Seek to outpace industry average insurance-in-force growth.</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Maintain strong capital levels and earnings profile</w:t>
      </w:r>
    </w:p>
    <w:p>
      <w:pPr>
        <w:spacing w:after="0" w:line="140" w:lineRule="exact"/>
        <w:rPr>
          <w:sz w:val="20"/>
          <w:szCs w:val="20"/>
          <w:color w:val="auto"/>
        </w:rPr>
      </w:pPr>
    </w:p>
    <w:p>
      <w:pPr>
        <w:ind w:left="500" w:hanging="252"/>
        <w:spacing w:after="0" w:line="248" w:lineRule="auto"/>
        <w:tabs>
          <w:tab w:leader="none" w:pos="497"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Seek to maintain a strong capital position supported by robust underwriting standards, comprehensive stress testing, a conservative leverage ratio, and a diversified CRT program.</w:t>
      </w:r>
    </w:p>
    <w:p>
      <w:pPr>
        <w:spacing w:after="0" w:line="77" w:lineRule="exact"/>
        <w:rPr>
          <w:rFonts w:ascii="Arial" w:cs="Arial" w:eastAsia="Arial" w:hAnsi="Arial"/>
          <w:sz w:val="14"/>
          <w:szCs w:val="14"/>
          <w:color w:val="auto"/>
        </w:rPr>
      </w:pPr>
    </w:p>
    <w:p>
      <w:pPr>
        <w:ind w:left="500" w:hanging="25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Aim to optimize cost of capital and forward capacity across CRT channels to manage volatility, protect the balance sheet and enhance return on equity.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Deliver attractive risk-adjusted returns</w:t>
      </w:r>
    </w:p>
    <w:p>
      <w:pPr>
        <w:spacing w:after="0" w:line="140" w:lineRule="exact"/>
        <w:rPr>
          <w:sz w:val="20"/>
          <w:szCs w:val="20"/>
          <w:color w:val="auto"/>
        </w:rPr>
      </w:pPr>
    </w:p>
    <w:p>
      <w:pPr>
        <w:ind w:left="500" w:hanging="25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Write profitable new business and leverage proprietary risk assessment and pricing tools to target growth and drive increased returns.</w:t>
      </w:r>
    </w:p>
    <w:p>
      <w:pPr>
        <w:spacing w:after="0" w:line="85"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Strive to maximize stockholder value through a disciplined capital allocation policy that supports existing policyholders, grows the business, and returns excess capital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Our Industry</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United States Mortgage Market</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United States residential mortgage market is one of the largest in the world with over $11.4 trillion of mortgage debt outstanding as of the third quarter of 2021 and includes a range of private and government sponsored participants. Private industry participants include mortgage banks, mortgage brokers, commercial, regional and investment banks, savings institutions, credit unions, real estate investment trusts, mortgage insurers and the GSEs.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 (“MBS”). For a description of certain impacts of COVID-19 on the mortgage market, see “Item 1A. Risk Factors—Risks Relating to Our Business—The ongoing COVID-19 pandemic has and could continue to adversely impact our business, results of operations and financial condition.”</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GSEs</w:t>
      </w:r>
    </w:p>
    <w:p>
      <w:pPr>
        <w:spacing w:after="0" w:line="142"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companies’ earnings reports, the GSEs held or guaranteed approximately $5.5 trillion as of September 30, 2021, or around 54%, of total United States 1-4 family residential mortgage debt according to most recent data from the Federal Reserve.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“Item 1A. Risk Factors—Risks Relating to Our Business—If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Private Mortgage Insurance</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Federal Housing Administration (“FHA”). In addition, there are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opportunities for the demand for and use of mortgage insurance to the extent that the private label securitization market expands in the future.</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overall new business opportunity in the private mortgage insurance market is also reflective of the mix between purchase and refinancing originations. Historically, due to the higher prevalence of Low-Down Payment Loans in purchase originations, mortgage insurance utilization has been meaningfully higher for purchase originations than for refinances.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principal sources of competition are government (federal, state and local) agencies, such as the FHA and the United States Department of Veterans Affairs (“VA”) and other private mortgage insurers. We also compete with mortgage lenders and other investors, the GSEs, portfolio lenders who self-insure, reinsurers and other capital markets participants who may utilize financial instruments designed to mitigate risk.</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Federal, State and Local Government Agencies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4"/>
          <w:szCs w:val="14"/>
          <w:i w:val="1"/>
          <w:iCs w:val="1"/>
          <w:color w:val="auto"/>
        </w:rPr>
        <w:t>Inside Mortgage Finance</w:t>
      </w:r>
      <w:r>
        <w:rPr>
          <w:rFonts w:ascii="Arial" w:cs="Arial" w:eastAsia="Arial" w:hAnsi="Arial"/>
          <w:sz w:val="14"/>
          <w:szCs w:val="14"/>
          <w:color w:val="auto"/>
        </w:rPr>
        <w:t>, for the first three quarters of 2021, the FHA had a 25% share, and the VA a 31%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Fair Isaac Company (“FICO”) 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the Homeowners Protection Act (“HOPA”), and under GSE guidelines when the loan-to-value (“LTV”) ratio of an underlying mortgage falls below 80%. Private mortgage insurers also face limited competition from certain local and state housing finance agencies.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Private Mortgage Insurers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 xml:space="preserve">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 and effective use and ease of technology. There are currently six active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based on data from </w:t>
      </w:r>
      <w:r>
        <w:rPr>
          <w:rFonts w:ascii="Arial" w:cs="Arial" w:eastAsia="Arial" w:hAnsi="Arial"/>
          <w:sz w:val="14"/>
          <w:szCs w:val="14"/>
          <w:i w:val="1"/>
          <w:iCs w:val="1"/>
          <w:color w:val="auto"/>
        </w:rPr>
        <w:t>Inside Mortgage Finance</w:t>
      </w:r>
      <w:r>
        <w:rPr>
          <w:rFonts w:ascii="Arial" w:cs="Arial" w:eastAsia="Arial" w:hAnsi="Arial"/>
          <w:sz w:val="14"/>
          <w:szCs w:val="14"/>
          <w:color w:val="auto"/>
        </w:rPr>
        <w: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GSEs, Portfolio Lenders, Reinsurers and Other Capital Markets Participants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 w:name="page8"/>
    <w:bookmarkEnd w:id="7"/>
    <w:p>
      <w:pPr>
        <w:jc w:val="both"/>
        <w:spacing w:after="0" w:line="248" w:lineRule="auto"/>
        <w:rPr>
          <w:sz w:val="20"/>
          <w:szCs w:val="20"/>
          <w:color w:val="auto"/>
        </w:rPr>
      </w:pPr>
      <w:r>
        <w:rPr>
          <w:rFonts w:ascii="Arial" w:cs="Arial" w:eastAsia="Arial" w:hAnsi="Arial"/>
          <w:sz w:val="14"/>
          <w:szCs w:val="14"/>
          <w:color w:val="auto"/>
        </w:rPr>
        <w:t>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 and Services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general, there are two types of private mortgage insurance: primary and pool.</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Primary Mortgage Insurance</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Substantially all of our policies are primary mortgage insurance, which provides protection on individual loans at specified coverage percentages. Primary mortgage insurance is placed on individual loans at the time of origination and are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20"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Customers who purchase our primary mortgage insurance select a specific coverage level for each insured loan. To be eligible for purchase by a GSE, a Low-Down Payment Loan must comply with the coverage percentages established by that particular GSE. For loans not sold to the GSEs, the customer determines its desired coverage percentage. Generally, our risk across all policies written is approximately 25% of the underlying primary insurance in-force (“IIF”), but may vary from policy to policy, typically between 6% and 35% coverage.</w:t>
      </w:r>
    </w:p>
    <w:p>
      <w:pPr>
        <w:spacing w:after="0" w:line="10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 borrower-paid mortgage insurance (“BPMI”). Loans for which premiums are paid by the lender are referred to as lender-paid mortgage insurance. In either case, the payment of premium to us is generally the responsibility of the insured.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Premiums are generally calculated as a percentage of the original principal balance and may be paid as follows:</w:t>
      </w:r>
    </w:p>
    <w:p>
      <w:pPr>
        <w:spacing w:after="0" w:line="126" w:lineRule="exact"/>
        <w:rPr>
          <w:sz w:val="20"/>
          <w:szCs w:val="20"/>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Monthly, where premiums are paid on a monthly basis over the life of the policy;</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Single, where the entire premium is paid upfront at the time the mortgage loan is originated;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Annually, where premiums are paid annually in advance for the subsequent 12 months; or</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Split, where an initial lump sum premium is paid upfront at the time the mortgage is originated along with subsequent monthly payments.</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general, we may not terminate mortgage insurance coverage except in the event of non-payment of premiums or certain material violations of our mortgage insurance policies. The insured may cancel mortgage insurance coverage at any time at their option or upon mortgage repayment, which is accelerated in the event of a refinancing. However, in the case of loans sold to the GSEs, lender cancellation of a policy not eligible for cancellation under GSE guidelines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8" w:name="page9"/>
    <w:bookmarkEnd w:id="8"/>
    <w:p>
      <w:pPr>
        <w:ind w:left="240"/>
        <w:spacing w:after="0"/>
        <w:rPr>
          <w:sz w:val="20"/>
          <w:szCs w:val="20"/>
          <w:color w:val="auto"/>
        </w:rPr>
      </w:pPr>
      <w:r>
        <w:rPr>
          <w:rFonts w:ascii="Arial" w:cs="Arial" w:eastAsia="Arial" w:hAnsi="Arial"/>
          <w:sz w:val="14"/>
          <w:szCs w:val="14"/>
          <w:b w:val="1"/>
          <w:bCs w:val="1"/>
          <w:i w:val="1"/>
          <w:iCs w:val="1"/>
          <w:color w:val="auto"/>
        </w:rPr>
        <w:t>Pool Mortgage Insurance</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insignificant amount of pool IIF.</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Contract Underwriting Services</w:t>
      </w:r>
    </w:p>
    <w:p>
      <w:pPr>
        <w:spacing w:after="0" w:line="142"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underwritten by our contract underwriters meet specified underwriting or purchase criteria, subject to contractual limitations on liability.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Mortgage Insurance Portfolio</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believe that our portfolio is of significant scale and aligns with our appetite for risk and return. The majority of our in-force exposures and all of our NIW is considered primary insurance, meaning we insure the loss on each loan up to the coverage amount without any stop loss or deductible for that loss. Our remaining pool exposures are significantly seasoned and represent less than 0.2% of total risk in-force (“RIF”).</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primary insurance portfolio is diversified through time. The distribution of our exposure by book year is influenced by market size opportunities, our commercial strategies and the persistency of our in-force policies. As a result of low persistency for our in-force book, a large origination market and commercial success in the market, the 2021 and 2020 book years represent 40% and 31% of our primary IIF, respectively. Our primary exposures from legacy books originated prior to 2009 continue to resolve in an orderly fashion and represented 3% of both our primary IIF and primary RIF as of December 31, 2021. These books continue to represent a larger portion of our delinquencies and reserves driven by the continued aging of those delinquencies.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measure the credit characteristics of our portfolio as represented in the original commitment for insurance. We support a growing FTHB segment that generally has little down payment saved for their first home and therefore higher LTV ratios. Generally, a higher LTV ratio has a higher likelihood of claim than a lower LTV loan, absent other mitigating loan characteristics, which we consider in our underwriting and pricing. The weighted average LTV of our IIF as of December 31, 2021 was 93% and the weighted average LTV of our NIW was 92% in 2021 and 2020.</w:t>
      </w:r>
    </w:p>
    <w:p>
      <w:pPr>
        <w:spacing w:after="0" w:line="120"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3"/>
          <w:szCs w:val="13"/>
          <w:color w:val="auto"/>
        </w:rPr>
        <w:t>The credit profile of our portfolio as represented by FICO score remains strong. Generally, a borrower with a higher FICO score has a lower likelihood of claim than one with a lower FICO score. The weighted average FICO score of our IIF as of December 31, 2021 was 741 and the weighted average FICO score of our NIW was 746 in 2021 and 745 in 2020.</w:t>
      </w:r>
    </w:p>
    <w:p>
      <w:pPr>
        <w:spacing w:after="0" w:line="9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portfolio is diverse and representative of the United States origination market. We actively monitor our portfolio for concentrations at the state, metropolitan statistical area and metropolitan division level in addition to economic and performance trends in these markets. As of December 31, 2021,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14"/>
          <w:szCs w:val="14"/>
          <w:color w:val="auto"/>
        </w:rPr>
        <w:t>largest state concentration was in California, which represented 11% of primary RIF. Our largest MSA/MD is the Chicago-Naperville, IL Metropolitan Division, which represents 3% of primary RIF.</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long-standing industry presence has enabled us to build active customer relationships with approximately 1,800 mortgage lenders across the United States. Our customers are broadly diversified by size, type and geography and include large money center banks, non-bank lenders, national and local mortgage bankers, community banks and credit unions. Our largest customer accounted for 14% of our total NIW in 2021 and our top five customers generated 28% of our NIW in 2021. One customer accounted for 12% of our total NIW during 2020 and 16% of our NIW during 2019. Additionally, no customer had earned premiums that accounted for more than 10% of our total revenues for the years ended December 31, 2021, 2020 and 2019.</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 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sales and marketing efforts are designed to help us establish and maintain in-depth, quality customer relationships. We distribute our mortgage insurance products through a dedicated sales force located throughout the United States, our home-based in-house sales representatives and a digital marketing program designed to expand our reach beyond our sales force. Our sales force strives to build 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122"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Finally, our consulting services provide customers with strategy and process consulting to help improve quality, reduce costs and grow their business.</w:t>
      </w:r>
    </w:p>
    <w:p>
      <w:pPr>
        <w:spacing w:after="0" w:line="10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2019, we launched a separate mortgage insurance policy underwritten by our wholly owned subsidiary, Genworth Mortgage Insurance Corporation of North Carolina (“GMIC-NC” whose name was changed to Enact Mortgage Insurance Company of North Carolina on February 7, 2022), to insure primary individually underwritten residential mortgage loans as well as portfolios of residential mortgage loans at or after origination that are not intended for sale to the GSEs. Given that GMIC-NC is not a GSE approved insurer, it is not subject to the requirements mandated by PMIERs. Accordingly, we are able to utilize GMIC-NC in a manner that provides us with greater flexibility with our master policies and in our ability to efficiently use the capital of our subsidiaries, each with customers who retain loans in their own portfolio. We also believe utilizing GMIC-NC in this manner provides us strategic optionality if the private label MBS market increases.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Technology that supports connectivity with our customers is critical. As an established private mortgage insurance provider, we have long-standing relationships with our customers’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 w:name="page11"/>
    <w:bookmarkEnd w:id="10"/>
    <w:p>
      <w:pPr>
        <w:jc w:val="both"/>
        <w:spacing w:after="0" w:line="246" w:lineRule="auto"/>
        <w:rPr>
          <w:sz w:val="20"/>
          <w:szCs w:val="20"/>
          <w:color w:val="auto"/>
        </w:rPr>
      </w:pPr>
      <w:r>
        <w:rPr>
          <w:rFonts w:ascii="Arial" w:cs="Arial" w:eastAsia="Arial" w:hAnsi="Arial"/>
          <w:sz w:val="14"/>
          <w:szCs w:val="14"/>
          <w:color w:val="auto"/>
        </w:rPr>
        <w:t>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Oversight</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Strong risk management is a critical part of our business. The Risk Committee of our Board of Directors is responsible for oversight and review of our enterprise risk management policies and related risk profile. We believe our risk management framework is appropriately designed to manage volatility in our business performance and protect our balance sheet. We believe this framework encompasses all major risks to which we are exposed, including credit risk, market risk, insurance risk, housing risk, operational risk, model risk, IT risk and any other risk that poses a material threat to the viability of the Company.</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 Our risk profile, top risks and any emerging risks are regularly reviewed in our senior management risk committee, chaired by our Chief Risk Officer who has direct reporting obligations to the Risk Committee of our Board.</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believe our risk management and oversight structure is appropriate for our business but we cannot be assured that it will be adequate in mitigating all our risks. See “Item 1A. Risk Factors—Risks Relating to Our Business—Our risk management programs may not be effective in identifying or adequate in controlling or mitigating the risks we face.”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Modeling and Analytics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use our proprietary risk modeling platform to evaluate returns and volatility through both an external regulatory lens and an economic capital framework that is sensitive to the economic cycle and current housing market conditions. This risk model utilizes numerous predictive variables and leverages our unique data set, which 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including traditional reinsurance and mortgage insurance-linked notes “(MILNs”).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Customer Qualification</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Policy Acquisition</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 w:name="page12"/>
    <w:bookmarkEnd w:id="11"/>
    <w:p>
      <w:pPr>
        <w:jc w:val="both"/>
        <w:spacing w:after="0" w:line="248" w:lineRule="auto"/>
        <w:rPr>
          <w:sz w:val="20"/>
          <w:szCs w:val="20"/>
          <w:color w:val="auto"/>
        </w:rPr>
      </w:pPr>
      <w:r>
        <w:rPr>
          <w:rFonts w:ascii="Arial" w:cs="Arial" w:eastAsia="Arial" w:hAnsi="Arial"/>
          <w:sz w:val="14"/>
          <w:szCs w:val="14"/>
          <w:color w:val="auto"/>
        </w:rPr>
        <w:t>products and the performance of our customers against our expectations for mix and profitability. We adjust our underwriting, pricing and risk selection strategies on a regular basis to ensure that our products remain competitive and consistent with our risk and profitability objectives.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Quality Assurance</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have an independent quality assurance function that conducts pre- 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Portfolio Management</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Business Continuity</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 employees have been successfully working from home since March 2020 and will continue to work from home until at least March 2022. See “Item 1A. Risk Factors—Risks Relating to Our Business —The ongoing COVID-19 pandemic has and could continue to adversely impact our business, results of operations and financial condition.”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Underwriting</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Debt-to-Income (“DTI”) Ratio. All loans must pass through our eligibility rules engine to screen out those outside of our guidelines.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Over the past few years, more customers have requested expedited underwriting services. To meet customer demand, we invested in technologies, automation, data science and analytics to develop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2" w:name="page13"/>
    <w:bookmarkEnd w:id="12"/>
    <w:p>
      <w:pPr>
        <w:jc w:val="both"/>
        <w:spacing w:after="0" w:line="245" w:lineRule="auto"/>
        <w:rPr>
          <w:sz w:val="20"/>
          <w:szCs w:val="20"/>
          <w:color w:val="auto"/>
        </w:rPr>
      </w:pPr>
      <w:r>
        <w:rPr>
          <w:rFonts w:ascii="Arial" w:cs="Arial" w:eastAsia="Arial" w:hAnsi="Arial"/>
          <w:sz w:val="14"/>
          <w:szCs w:val="14"/>
          <w:color w:val="auto"/>
        </w:rPr>
        <w:t>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policies are issued through one of two underwriting programs: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Non-Delegated Underwriting</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 diverse customer base. In addition to our employees, we use domestically based, contract underwriters, as needed, to assist with underwriting capacity and drive efficiency.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Delegated Underwriting</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delegate to eligible lender customers the ability to underwrite mortgage insurance based on our delegated underwriting guidelines. To perform delegated underwriting, customers must be approved by our risk 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also offer a post-closing underwriting review when requested by customers for both non-delegated and delegated loans. Upon satisfactory completion of this review, we agree to waive our right to rescind coverage under certain circumstances. For the years ended December 31, 2021 and 2020, approximately 65% and 59% of our NIW by loan count went through our delegated underwriting services,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was developed to evaluate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during the COVID-19 pandemic, we have implemented pricing changes commensurate with changes in macroeconomic conditions that we believe align our risk and return profile.</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policy has been to set and charge premium rates commensurate with the underlying risk of each loan we insure. Our proprietary pricing platform, however, provides us with a more flexible, granular and analytical approach to selecting and pricing risk. Using our platform, we can quickly change price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modify our risk selection levels in response to changing economic conditions, new analytical insights or industry pricing trends.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Risk Transfer</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capital requirements. In normal market conditions, we believe our CRT program also enhances our return profile. Given the volatility protection and capital relief at attractive terms, CRT enables us to employ an “acquire, manage and distribute” strategy. We believe our CRT program is a material component of our strategy and helps to protect future business performance and stockholder capital under stress scenarios.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CRT program distributes risk to both highly-rated counterparties through our traditional reinsurance program, as well as to MILN investors via fully collateralized special purpose reinsurance vehicles. Our reinsurance transactions generally cover a subset of loans in a given book year, and have been structured as excess of loss (“XOL”) coverage where typically both the attachment and detachment points of the ceded risk tier are within the PMIERs capital requirements at inception, providing both loss volatility protection and PMIERs capital credit. Each reinsurance treaty has a term of ten years or more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$3.8 billion of CRT transactions across both traditional reinsurance arrangements and MILN transactions through December 31, 2021, with approximately 90% of our RIF insurance covered under our current CRT program. We expect to begin transferring losses at an approximate 30 to 35% lifetime book year loss ratio and extend up to an approximate 60 to 70% lifetime book year loss ratio at current pricing assumptions and depending on our co-participation level within the reinsurance tier.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Through our traditional reinsurance transactions, we have executed $2.0 billion of XOL reinsurance coverage with highly rated reinsurers covering the 2009 to 2021 book years.</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Subsequent to year end 2021, on January 27, 2022 we completed an XOL reinsurance transaction covering a portion of NIW from January 1, 2022 to December 31, 2022 that provides up to $294 million of reinsurance coverage.</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Company’s traditional reinsurance coverage is provided by a panel of reinsurance partners each currently rated “A-” or better by Standard &amp; Poor’s (“S&amp;P”) or A.M. Best Company, Inc. These reinsurers are contractually required to collateralize a portion (typically 20 to 30%) of the reinsurance exposures consistent with PMIERs.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Through our MILN transactions, we have executed $1.8 billion of XOL reinsurance coverage supported by capital markets investors via fully collateralized special purpose reinsurance vehicles covering a portion of the 2014 to 2021 book years. The notes are non-recourse to us and our affiliates.</w:t>
      </w:r>
    </w:p>
    <w:p>
      <w:pPr>
        <w:spacing w:after="0" w:line="119" w:lineRule="exact"/>
        <w:rPr>
          <w:sz w:val="20"/>
          <w:szCs w:val="20"/>
          <w:color w:val="auto"/>
        </w:rPr>
      </w:pPr>
    </w:p>
    <w:p>
      <w:pPr>
        <w:ind w:right="1960" w:firstLine="246"/>
        <w:spacing w:after="0" w:line="428" w:lineRule="auto"/>
        <w:rPr>
          <w:sz w:val="20"/>
          <w:szCs w:val="20"/>
          <w:color w:val="auto"/>
        </w:rPr>
      </w:pPr>
      <w:r>
        <w:rPr>
          <w:rFonts w:ascii="Arial" w:cs="Arial" w:eastAsia="Arial" w:hAnsi="Arial"/>
          <w:sz w:val="14"/>
          <w:szCs w:val="14"/>
          <w:color w:val="auto"/>
        </w:rPr>
        <w:t xml:space="preserve">Our CRT program provided an estimated aggregate of $1.4 billion of PMIERs capital credit and $1.6 billion of loss coverage as of December 31, 2021. </w:t>
      </w:r>
      <w:r>
        <w:rPr>
          <w:rFonts w:ascii="Arial" w:cs="Arial" w:eastAsia="Arial" w:hAnsi="Arial"/>
          <w:sz w:val="14"/>
          <w:szCs w:val="14"/>
          <w:b w:val="1"/>
          <w:bCs w:val="1"/>
          <w:color w:val="auto"/>
        </w:rPr>
        <w:t>Delinquencies, Loss Management and Claims</w:t>
      </w:r>
    </w:p>
    <w:p>
      <w:pPr>
        <w:jc w:val="both"/>
        <w:spacing w:after="0" w:line="246" w:lineRule="auto"/>
        <w:rPr>
          <w:sz w:val="20"/>
          <w:szCs w:val="20"/>
          <w:color w:val="auto"/>
        </w:rPr>
      </w:pPr>
      <w:r>
        <w:rPr>
          <w:rFonts w:ascii="Arial" w:cs="Arial" w:eastAsia="Arial" w:hAnsi="Arial"/>
          <w:sz w:val="14"/>
          <w:szCs w:val="14"/>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“1A. Risk Factors—Risks Relating to Our Business—The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4"/>
          <w:szCs w:val="14"/>
          <w:color w:val="auto"/>
        </w:rPr>
        <w:t>COVID-19 pandemic has and could continue to adversely impact our business, results of operations and financial condition.” and “—A deterioration in economic conditions or a decline in home prices may adversely affect our loss experience.” Delinquencies that are not cured result in a claim.</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 With the COVID-19 pandemic, we have experienced unprecedented use of forbearance plans nationwide to assist borrowers including the ability to extend forbearance beyond 12 months. Historically, the use of forbearance plans were limited to 12 months and used for a natural disaster that impacted a region of the country. At the conclusion of the forbearance term, a borrower may either bring the borrower’s loan current, defer any missed payments until the end of their loan, or the loan can be modified through a repayment plan or extension of the mortgage term.</w:t>
      </w:r>
    </w:p>
    <w:p>
      <w:pPr>
        <w:spacing w:after="0" w:line="121"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 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For loans insured on or after October 1, 2014, our mortgage insurance policies limit the number of months of unpaid interest and associated expenses that are included in the mortgage insurance claim amount to a maximum of 36 months.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Under the terms of our primary insurance master policy, customers are required to file claims within 60 days of the earliest of (i) the date they have acquired title to the underlying property (typically through foreclosure), (ii) the date of an approved short sale or other third party sale of the underlying property or (iii) the date a request is made by us to file a claim.</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Upon review and determination that a filed claim is valid, we generally have the following three settlement options:</w:t>
      </w:r>
    </w:p>
    <w:p>
      <w:pPr>
        <w:spacing w:after="0" w:line="126" w:lineRule="exact"/>
        <w:rPr>
          <w:sz w:val="20"/>
          <w:szCs w:val="20"/>
          <w:color w:val="auto"/>
        </w:rPr>
      </w:pPr>
    </w:p>
    <w:p>
      <w:pPr>
        <w:ind w:left="500" w:hanging="252"/>
        <w:spacing w:after="0" w:line="248"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Third-party sale option—pay the amount of the claim required to make the customer whole, commonly referred to as the “actual loss amount,” following an approved sale; or</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Acquisition option—pay the full claim amount and acquire title to the property.</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2021 and 2020, we settled over half of our claims through the third-party sale or acquisition options due largely to continued home price appreciation.</w:t>
      </w:r>
    </w:p>
    <w:p>
      <w:pPr>
        <w:spacing w:after="0" w:line="126"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Claim activity is not evenly spread across the coverage period of loans we insure. The frequency of delinquencies may not correlate directly with the number of claims received because the rate at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5" w:name="page16"/>
    <w:bookmarkEnd w:id="15"/>
    <w:p>
      <w:pPr>
        <w:jc w:val="both"/>
        <w:spacing w:after="0" w:line="246" w:lineRule="auto"/>
        <w:rPr>
          <w:sz w:val="20"/>
          <w:szCs w:val="20"/>
          <w:color w:val="auto"/>
        </w:rPr>
      </w:pPr>
      <w:r>
        <w:rPr>
          <w:rFonts w:ascii="Arial" w:cs="Arial" w:eastAsia="Arial" w:hAnsi="Arial"/>
          <w:sz w:val="14"/>
          <w:szCs w:val="14"/>
          <w:color w:val="auto"/>
        </w:rPr>
        <w:t>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many industry leading origination and servicing systems so that our customers and servicers can select our mortgage insurance products and communicate with us directly from within their own technology platform. We also provide our customers secure access to our web-based portals to facilitate transactions and provide customers with access to their account information.</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made a number of strategic investments in our technology infrastructure, including our:</w:t>
      </w:r>
    </w:p>
    <w:p>
      <w:pPr>
        <w:spacing w:after="0" w:line="126" w:lineRule="exact"/>
        <w:rPr>
          <w:sz w:val="20"/>
          <w:szCs w:val="20"/>
          <w:color w:val="auto"/>
        </w:rPr>
      </w:pPr>
    </w:p>
    <w:p>
      <w:pPr>
        <w:ind w:left="500" w:hanging="25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Proprietary underwriting platform;</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Lender and servicer integration capabilities;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Proprietary risk modeling platform;</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Business rules engine that automatically enforces our eligibility guidelines and pricing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6" w:name="page17"/>
    <w:bookmarkEnd w:id="16"/>
    <w:p>
      <w:pPr>
        <w:ind w:left="500" w:hanging="25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Management and portfolio reporting capabilities;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Award-winning rate quote and ordering website.</w:t>
      </w:r>
    </w:p>
    <w:p>
      <w:pPr>
        <w:spacing w:after="0" w:line="126"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We are regularly upgrading and enhancing our systems and technology, with an eye towards expanding our capabilities, improving productivity and enhancing our customer experience, including:</w:t>
      </w:r>
    </w:p>
    <w:p>
      <w:pPr>
        <w:spacing w:after="0" w:line="119" w:lineRule="exact"/>
        <w:rPr>
          <w:sz w:val="20"/>
          <w:szCs w:val="20"/>
          <w:color w:val="auto"/>
        </w:rPr>
      </w:pPr>
    </w:p>
    <w:p>
      <w:pPr>
        <w:ind w:left="500" w:hanging="25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Policy administration, billing, delinquency and claims processes and systems;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Enhancing the speed and efficiency of our pricing and auto-decisioning capabilities;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Ensuring optimal integration capabilities to our customers’ loan origination and mortgage insurance ordering and rate quoting processes;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Artificial intelligence and machine learning in the areas of risk and portfolio management.</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Cybersecurity</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employ a multi-layered approach to data security and data privacy. This approach begins with our information security program, which is based on National Institute of Standards and Technology, 800-53. Our program includes policies and standards that delineate requirements for the implementation and on-going maintenance of our information systems as well as security responsibilities for all personnel. We review these policies and standards periodically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 security officer, together with our compliance organization, among others, ensure the requirements of our information security program satisfy applicable legal and regulatory requirements. Our chief information security officer also provides regular updates and reports to our senior leaders, including an annual cybersecurity report to the board that covers, among other topics, the information security organization, material risks, technical threats, information technology security infrastructure, patching and vulnerability management, cyber incidents, an annual cyber tabletop exercise and incident preparedness, supplier management, security awareness training, cybersecurity personnel/staffing and a cyber threat assessment. The board also reviews the chief compliance officer’s quarterly report, which includes information regarding data security incidents that meet the risk criteria for inclusion in the report. Through this reporting process, our board oversees our information security program and risks related thereto. As discussed above, strong risk management is a critical part of our business.</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Risk Committee of the Board of Directors, in coordination with our management risk committee, has primary responsibility for overseeing cybersecurity, information technology and information security systems, processes, policies and risk management and the effectiveness of security controls.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Ratings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performance and condition of most insurers and provide opinions regarding financial strength, operating performance and ability to meet obligations to policyholders.</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As of February 28, 2022, GMICO, our principal U.S. mortgage insurance subsidiary, was rated “BBB” (Good) by S&amp;P, “Baa2” (Adequate) by Moody’s and “BBB+” (Good) by Fitch Ratings, Inc. (“Fitch”) in terms of financial strength.</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Portfolio</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Oversight and management of our investment portfolio and compliance with our investment guidelines will continue to be delegated by our board of directors to our Parent’s investment committee and chief investment officer. Under the terms of our Shared Services Agreement, the Company is charged a fee by our Parent. The total investment expenses paid to our Parent were $5.2 million for each of the years ended December 31, 2021 and 2020, respectively. See Note 11 to our audited consolidated financial statements for further information.</w:t>
      </w:r>
    </w:p>
    <w:p>
      <w:pPr>
        <w:spacing w:after="0" w:line="120"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3"/>
          <w:szCs w:val="13"/>
          <w:color w:val="auto"/>
        </w:rPr>
        <w:t>In addition, for certain asset classes, we utilize external asset management. In the future, we may choose to more broadly engage external asset managers. Our senior management team along with our board of directors review investment performance and strategy on a periodic basis. As of December 31, 2021, the fair value of our investment portfolio was $5.3 billion of fixed maturity assets, of which 97% was rated as investment grade. We also had an additional $426 million of cash and cash equivalents as of December 31, 2021.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“Item 7. Management’s Discussion and Analysis of Financial Condition and Results of Operations—Investment Portfolio.”</w:t>
      </w:r>
    </w:p>
    <w:p>
      <w:pPr>
        <w:spacing w:after="0" w:line="10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board-approved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 assets correlated with the residential mortgage market.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more information regarding our investment portfolio, see “Item 7. Management’s Discussion and Analysis of Financial Condition and Results of Operations—Results of Operations and Key Metrics—Investment Portfolio.”</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Management and Employees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take a holistic approach to human capital management, including attracting and retaining talent with comprehensive benefits and compensation packages, providing professional development and learning opportunities, facilitating access to dedicated resources that foster an equitable and inclusive environment and encouraging a sincere commitment to community service and involvement. As of December 31, 2021, we had 503 full-time employees, all of whom work in the United States. Of those employees, 55% are located in our Raleigh, North Carolina office and the remaining 45% are in the field, predominantly working in sales and underwriting. We supplement our workforce, as needed, with independent contractors. Our employees and contractors are all equipped to work on a remote basis. None of our employees are represented by a union or subject to a collective servicing agreement and management believes that our relationship with our employees is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8" w:name="page19"/>
    <w:bookmarkEnd w:id="18"/>
    <w:p>
      <w:pPr>
        <w:ind w:left="240"/>
        <w:spacing w:after="0"/>
        <w:rPr>
          <w:sz w:val="20"/>
          <w:szCs w:val="20"/>
          <w:color w:val="auto"/>
        </w:rPr>
      </w:pPr>
      <w:r>
        <w:rPr>
          <w:rFonts w:ascii="Arial" w:cs="Arial" w:eastAsia="Arial" w:hAnsi="Arial"/>
          <w:sz w:val="14"/>
          <w:szCs w:val="14"/>
          <w:color w:val="auto"/>
        </w:rPr>
        <w:t>Some of our key areas of focus include:</w:t>
      </w:r>
    </w:p>
    <w:p>
      <w:pPr>
        <w:spacing w:after="0" w:line="126" w:lineRule="exact"/>
        <w:rPr>
          <w:sz w:val="20"/>
          <w:szCs w:val="20"/>
          <w:color w:val="auto"/>
        </w:rPr>
      </w:pPr>
    </w:p>
    <w:p>
      <w:pPr>
        <w:ind w:firstLine="248"/>
        <w:spacing w:after="0" w:line="248" w:lineRule="auto"/>
        <w:tabs>
          <w:tab w:leader="none" w:pos="489"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compensation package, including salary, incentive bonus and long-term incentives, aligns employee and stockholder interests, as well as rewards our employees for serving all of our current and future customers.</w:t>
      </w:r>
    </w:p>
    <w:p>
      <w:pPr>
        <w:spacing w:after="0" w:line="118" w:lineRule="exact"/>
        <w:rPr>
          <w:rFonts w:ascii="Arial" w:cs="Arial" w:eastAsia="Arial" w:hAnsi="Arial"/>
          <w:sz w:val="14"/>
          <w:szCs w:val="14"/>
          <w:color w:val="auto"/>
        </w:rPr>
      </w:pPr>
    </w:p>
    <w:p>
      <w:pPr>
        <w:ind w:firstLine="248"/>
        <w:spacing w:after="0" w:line="248" w:lineRule="auto"/>
        <w:tabs>
          <w:tab w:leader="none" w:pos="489"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addition to a competitive compensation program, we also offer our employees benefits such as life and health insurance, paid time off, paid parental leave, financial planning and a retirement savings plan.</w:t>
      </w:r>
    </w:p>
    <w:p>
      <w:pPr>
        <w:spacing w:after="0" w:line="118" w:lineRule="exact"/>
        <w:rPr>
          <w:rFonts w:ascii="Arial" w:cs="Arial" w:eastAsia="Arial" w:hAnsi="Arial"/>
          <w:sz w:val="14"/>
          <w:szCs w:val="14"/>
          <w:color w:val="auto"/>
        </w:rPr>
      </w:pPr>
    </w:p>
    <w:p>
      <w:pPr>
        <w:ind w:firstLine="248"/>
        <w:spacing w:after="0" w:line="248" w:lineRule="auto"/>
        <w:tabs>
          <w:tab w:leader="none" w:pos="489"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offer a multitude of professional development and career enrichment courses, including in the areas of leadership, professional skills training and industry-specific matters, as well as tuition reimbursement benefits and student loan repayment options to aid career progression.</w:t>
      </w:r>
    </w:p>
    <w:p>
      <w:pPr>
        <w:spacing w:after="0" w:line="118" w:lineRule="exact"/>
        <w:rPr>
          <w:rFonts w:ascii="Arial" w:cs="Arial" w:eastAsia="Arial" w:hAnsi="Arial"/>
          <w:sz w:val="14"/>
          <w:szCs w:val="14"/>
          <w:color w:val="auto"/>
        </w:rPr>
      </w:pPr>
    </w:p>
    <w:p>
      <w:pPr>
        <w:jc w:val="both"/>
        <w:ind w:firstLine="248"/>
        <w:spacing w:after="0" w:line="246" w:lineRule="auto"/>
        <w:tabs>
          <w:tab w:leader="none" w:pos="489"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cultural and demographic-based employee resource groups help to build an inclusive culture through company-wide events, participation in our recruitment efforts and by educating our employees on the experiences and perspectives of others. We continue to focus on building a pipeline of talent to create more opportunities for workplace diversity and to support greater representation within our Company.</w:t>
      </w:r>
    </w:p>
    <w:p>
      <w:pPr>
        <w:spacing w:after="0" w:line="120" w:lineRule="exact"/>
        <w:rPr>
          <w:rFonts w:ascii="Arial" w:cs="Arial" w:eastAsia="Arial" w:hAnsi="Arial"/>
          <w:sz w:val="14"/>
          <w:szCs w:val="14"/>
          <w:color w:val="auto"/>
        </w:rPr>
      </w:pPr>
    </w:p>
    <w:p>
      <w:pPr>
        <w:ind w:firstLine="248"/>
        <w:spacing w:after="0" w:line="248" w:lineRule="auto"/>
        <w:tabs>
          <w:tab w:leader="none" w:pos="489"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champion civic engagement through paid volunteer time for our employees, event sponsorship programs, employee-directed charitable gifts and through our commitment to environmental sustainability.</w:t>
      </w:r>
    </w:p>
    <w:p>
      <w:pPr>
        <w:spacing w:after="0" w:line="119"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As the severity of COVID-19 started to unfold at the beginning of 2020, our response included the implementation of policies to protect our employees. In early March 2020, we closed our offices and implemented a complete work from home policy which will remain in place until at least March 2022. To further support our employees, we are also providing additional financial, health and wellness resources, as well as a flexible work schedule to allow employees additional time for self-care and the care of family members during the crisis.</w:t>
      </w:r>
    </w:p>
    <w:p>
      <w:pPr>
        <w:spacing w:after="0" w:line="87" w:lineRule="exact"/>
        <w:rPr>
          <w:sz w:val="20"/>
          <w:szCs w:val="20"/>
          <w:color w:val="auto"/>
        </w:rPr>
      </w:pPr>
    </w:p>
    <w:p>
      <w:pPr>
        <w:jc w:val="right"/>
        <w:ind w:right="10580"/>
        <w:spacing w:after="0"/>
        <w:rPr>
          <w:sz w:val="20"/>
          <w:szCs w:val="20"/>
          <w:color w:val="auto"/>
        </w:rPr>
      </w:pPr>
      <w:r>
        <w:rPr>
          <w:rFonts w:ascii="Arial" w:cs="Arial" w:eastAsia="Arial" w:hAnsi="Arial"/>
          <w:sz w:val="13"/>
          <w:szCs w:val="13"/>
          <w:b w:val="1"/>
          <w:bCs w:val="1"/>
          <w:color w:val="auto"/>
        </w:rPr>
        <w:t>Regulation</w:t>
      </w:r>
    </w:p>
    <w:p>
      <w:pPr>
        <w:spacing w:after="0" w:line="138" w:lineRule="exact"/>
        <w:rPr>
          <w:sz w:val="20"/>
          <w:szCs w:val="20"/>
          <w:color w:val="auto"/>
        </w:rPr>
      </w:pPr>
    </w:p>
    <w:p>
      <w:pPr>
        <w:jc w:val="right"/>
        <w:ind w:right="10520"/>
        <w:spacing w:after="0"/>
        <w:rPr>
          <w:sz w:val="20"/>
          <w:szCs w:val="20"/>
          <w:color w:val="auto"/>
        </w:rPr>
      </w:pPr>
      <w:r>
        <w:rPr>
          <w:rFonts w:ascii="Arial" w:cs="Arial" w:eastAsia="Arial" w:hAnsi="Arial"/>
          <w:sz w:val="14"/>
          <w:szCs w:val="14"/>
          <w:b w:val="1"/>
          <w:bCs w:val="1"/>
          <w:i w:val="1"/>
          <w:iCs w:val="1"/>
          <w:color w:val="auto"/>
        </w:rPr>
        <w:t>General</w:t>
      </w:r>
    </w:p>
    <w:p>
      <w:pPr>
        <w:spacing w:after="0" w:line="142"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North Carolina Department of Insurance (“NCDOI”) being the lead regulator for our North Carolina domiciled insurers. Our insurance products and business also are affected by federal, state and local laws, including tax laws.</w:t>
      </w:r>
    </w:p>
    <w:p>
      <w:pPr>
        <w:spacing w:after="0" w:line="103"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United States Insurance Regulation</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9" w:name="page20"/>
    <w:bookmarkEnd w:id="19"/>
    <w:p>
      <w:pPr>
        <w:jc w:val="both"/>
        <w:spacing w:after="0" w:line="246" w:lineRule="auto"/>
        <w:rPr>
          <w:sz w:val="20"/>
          <w:szCs w:val="20"/>
          <w:color w:val="auto"/>
        </w:rPr>
      </w:pPr>
      <w:r>
        <w:rPr>
          <w:rFonts w:ascii="Arial" w:cs="Arial" w:eastAsia="Arial" w:hAnsi="Arial"/>
          <w:sz w:val="14"/>
          <w:szCs w:val="14"/>
          <w:color w:val="auto"/>
        </w:rPr>
        <w:t>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Insurance Holding Company Regulation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0" w:name="page21"/>
    <w:bookmarkEnd w:id="20"/>
    <w:p>
      <w:pPr>
        <w:jc w:val="both"/>
        <w:spacing w:after="0" w:line="245" w:lineRule="auto"/>
        <w:rPr>
          <w:sz w:val="20"/>
          <w:szCs w:val="20"/>
          <w:color w:val="auto"/>
        </w:rPr>
      </w:pPr>
      <w:r>
        <w:rPr>
          <w:rFonts w:ascii="Arial" w:cs="Arial" w:eastAsia="Arial" w:hAnsi="Arial"/>
          <w:sz w:val="14"/>
          <w:szCs w:val="14"/>
          <w:color w:val="auto"/>
        </w:rPr>
        <w:t>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insurance subsidiaries’ payment of dividends or other distributions to our holding company is regulated by the state insurance laws and regulations of their respective domiciliary states. Our insurance subsidiaries must deliver notice to the Commissioner of any dividend or distribution within 5 business days after declaration of the dividend or distribution, and at least 30 days before payment thereof. Any distribution, regardless of amount, requires that same 30-day notice to the Commissioner, but also requires the Commissioner’s affirmative approval before being paid.</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addition, insurance regulators may prohibit the payment of ordinary dividends and distributions or other payments by our insurers (such as a payment under a tax sharing agreement for employment or other services) if they determine that such payment could be adverse to our policyholders or would not be fair and reasonable to the insurer.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National Association of Insurance Commissioners (“NAIC”)</w:t>
      </w:r>
    </w:p>
    <w:p>
      <w:pPr>
        <w:spacing w:after="0" w:line="142"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Statutory Accounting Principles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0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NAIC adopted the Risk Management and Own Risk and Solvency Assessment Model Act (the “ORSA Model Act”). The ORSA Model Act requires an insurance holding company to, regularly, no less than annually, assess the adequacy of our insurance subsidiaries’ risk management framework, and current and estimated projected future solvency position; internally document the process and results of the assessment; and provide a confidential high-level report annually to the lead state commissioner.</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Examinations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1" w:name="page22"/>
    <w:bookmarkEnd w:id="21"/>
    <w:p>
      <w:pPr>
        <w:ind w:left="240"/>
        <w:spacing w:after="0"/>
        <w:rPr>
          <w:sz w:val="20"/>
          <w:szCs w:val="20"/>
          <w:color w:val="auto"/>
        </w:rPr>
      </w:pPr>
      <w:r>
        <w:rPr>
          <w:rFonts w:ascii="Arial" w:cs="Arial" w:eastAsia="Arial" w:hAnsi="Arial"/>
          <w:sz w:val="14"/>
          <w:szCs w:val="14"/>
          <w:b w:val="1"/>
          <w:bCs w:val="1"/>
          <w:i w:val="1"/>
          <w:iCs w:val="1"/>
          <w:color w:val="auto"/>
        </w:rPr>
        <w:t>Accounting Principles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U.S. GAAP, the values for assets, liabilities and equity reflected in financial statements prepared in accordance with U.S. GAAP are often materially different from those reflected in financial statements prepared under SAP.</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Market Conduct</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Investments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Capital and Surplus Requirements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Mortgage Guaranty Insurance Capital and Surplus Requirements. Mortgage guaranty insurers are not subject to the NAIC’s risk-based capital (“RBC”) requirements but certain states impose other forms of capital requirements on mortgage guaranty insurers, requiring maintenance of a RTC ratio not to exceed 25:1. Policyholder position is defined as surplus as regards policyholders plus contingency reserves, less ceded reinsurance. In this Annual Report, we show policyholder position as statutory capital.</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late 2019 and early 2021, the MGIWG released exposure drafts of the revised MGI Model, including new proposed mortgage guaranty insurance capital requirements for mortgage insurers, and the mortgage guaranty supplemental filing, which currently remains under development. The process for developing this framework is ongoing, and the outcome of this process remains uncertain. At this time, we cannot predict (i) the outcome of this process; (ii) which states, if any, may adopt the MGI Model; (iii) the effect changes, if any, will have on the mortgage guaranty insurance market generally, or on our business specifically; (iv) the additional costs associated with compliance with any such changes; or (v) any changes to our operations that may be necessary to comply, any of which could have a material adverse effect on our business, results of operations and financial condition. We also cannot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whether other regulatory initiatives will be adopted and what impact, if any, such initiatives, if adopted as laws, may have on our business, results of operations and financial condition.</w:t>
      </w:r>
    </w:p>
    <w:p>
      <w:pPr>
        <w:spacing w:after="0" w:line="112" w:lineRule="exact"/>
        <w:rPr>
          <w:sz w:val="20"/>
          <w:szCs w:val="20"/>
          <w:color w:val="auto"/>
        </w:rPr>
      </w:pPr>
    </w:p>
    <w:p>
      <w:pPr>
        <w:jc w:val="both"/>
        <w:ind w:firstLine="246"/>
        <w:spacing w:after="0" w:line="247" w:lineRule="auto"/>
        <w:rPr>
          <w:sz w:val="20"/>
          <w:szCs w:val="20"/>
          <w:color w:val="auto"/>
        </w:rPr>
      </w:pPr>
      <w:r>
        <w:rPr>
          <w:rFonts w:ascii="Arial" w:cs="Arial" w:eastAsia="Arial" w:hAnsi="Arial"/>
          <w:sz w:val="14"/>
          <w:szCs w:val="14"/>
          <w:i w:val="1"/>
          <w:iCs w:val="1"/>
          <w:color w:val="auto"/>
        </w:rPr>
        <w:t>Group Capital Requirements</w:t>
      </w:r>
      <w:r>
        <w:rPr>
          <w:rFonts w:ascii="Arial" w:cs="Arial" w:eastAsia="Arial" w:hAnsi="Arial"/>
          <w:sz w:val="14"/>
          <w:szCs w:val="14"/>
          <w:color w:val="auto"/>
        </w:rPr>
        <w:t>. The NAIC and international insurance regulators, including the International Association of Insurance Supervisors (“IAIS”), have developed group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standards. The NAIC developed a group capital calculation (“GCC”) tool using an RBC aggregation methodology for all entities within the insurance holding company system, including non-United States entities. The GCC provides regulators with an additional tool for conducting group-wide supervision and enhances transparency into how capital is allocated. In December 2020, the NAIC also adopted the GCC Template and Instructions as well as amendments to the Holding Company System Model Act and Regulation to require, subject to certain exceptions, the ultimate controlling person of every insurer subject to the holding company registration requirement to file an annual group capital calculation with its lead state; however, the template and instructions are currently undergoing revisions by the NAIC’s Group Capital Calculation (E) Working Group as the working group conducts a trial implementation of the GCC with volunteer insurer groups in 2021. The NAIC has stated that the calculation will be a regulatory tool and does not constitute a requirement or standard, but there can be no guarantee that will remain the case. The amendments to the Holding Company System Model Act and Regulation, which implement the annual filing requirement for the GCC, now have to be adopted by state legislatures in order to become effective. See also “Item 1A. Risk Factors— Risks Relating to Regulatory Matters—Inability to maintain sufficient regulatory capital could result in restrictions or prohibitions on our doing business or impact our financial strength ratings which could have a material adverse impact on our business, results of operations and financial condition. ”</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IAIS spent several years developing a risk-based global insurance capital standard (“ICS”) based upon 10 key principles, which will apply to internationally active insurance groups. We are part of the broader group of insurance companies of our Parent. The IAIS adopted a revised version of the ICS in 2019 and it began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Reserves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be at least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$3,042 million and $2,518 million as of December 31, 2021 and 2020, respectively.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Dodd-Frank Act</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Although the federal government generally does not directly regulate the insurance business, federal initiatives often have an impact on our business in a variety of ways. From time to time, federal measures are proposed that may significantly affect the insurance business. These areas include financial services regulation, securities regulation, derivatives regulation, money laundering, privacy regulation and taxation. In addition, various forms of direct federal regulation of insurance have been proposed in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3" w:name="page24"/>
    <w:bookmarkEnd w:id="23"/>
    <w:p>
      <w:pPr>
        <w:jc w:val="both"/>
        <w:ind w:firstLine="246"/>
        <w:spacing w:after="0" w:line="248" w:lineRule="auto"/>
        <w:rPr>
          <w:sz w:val="20"/>
          <w:szCs w:val="20"/>
          <w:color w:val="auto"/>
        </w:rPr>
      </w:pPr>
      <w:r>
        <w:rPr>
          <w:rFonts w:ascii="Arial" w:cs="Arial" w:eastAsia="Arial" w:hAnsi="Arial"/>
          <w:sz w:val="14"/>
          <w:szCs w:val="14"/>
          <w:color w:val="auto"/>
        </w:rPr>
        <w:t>The Dodd-Frank Act made extensive changes to the laws regulating financial services firms and required various federal agencies to adopt a broad range of new implementing rules and regulations.</w:t>
      </w:r>
    </w:p>
    <w:p>
      <w:pPr>
        <w:spacing w:after="0" w:line="119"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Consumer Financial Protection Bureau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Qualified Mortgage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 exceed a DTI ratio of 43% to be eligible for QM status. Many of the loans that qualify under the QM Patch require credit enhancement, of which private mortgage insurance is the predominate form of coverage. On December 29, 2020, the CFPB promulgated two final rules amending the QM Rule: (i) the Amended QM Rule and (ii) the Seasoned QM Final Rule. The effective date of both rules was March 1, 2021, with a mandatory compliance date for the Amended QM Rule of July 1, 2021. However,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Preferred Stock Purchase Agreements (“PSPAs”) between the Treasury Department and each of the GSEs they would only acquire loans that meet the new price-based (APOR) definition set forth under the Amended QM Rule for applications received on or after July 1, 2021. We believe that loans which previously qualified under the 43% DTI-based QM Rule definition and the QM Patch will continue to qualify under the new price-based (APOR) definition and therefore we expect little impact from this change.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Agency Qualification Requirements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Effective December 31, 2015, each GSE adopted the original PMIERs, which set forth operational and financial requirements that mortgage insurers must meet in order to remain eligible. On September 27, 2018, the GSEs issued revisions to the PMIERs, which became effective March 31, 2019. The PMIERs aim to ensure that approved insurers possess 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underwriting, claim processing and loss mitigation among others. In addition, the PMIERs require private mortgage insurers to obtain the prior consent of the GSEs before taking certain actions, which may include entering into various intercompany agreements and commuting or reinsuring risk, among others. As of December 31, 2021, we met the PMIERs financial and operational requirements, based in part on our entry into a series of reinsurance transactions, and currently hold a reasonable amount in excess of the financial requirements.</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4" w:name="page25"/>
    <w:bookmarkEnd w:id="24"/>
    <w:p>
      <w:pPr>
        <w:jc w:val="both"/>
        <w:spacing w:after="0" w:line="248" w:lineRule="auto"/>
        <w:rPr>
          <w:sz w:val="20"/>
          <w:szCs w:val="20"/>
          <w:color w:val="auto"/>
        </w:rPr>
      </w:pPr>
      <w:r>
        <w:rPr>
          <w:rFonts w:ascii="Arial" w:cs="Arial" w:eastAsia="Arial" w:hAnsi="Arial"/>
          <w:sz w:val="14"/>
          <w:szCs w:val="14"/>
          <w:color w:val="auto"/>
        </w:rPr>
        <w:t>acquisition of high LTV mortgages. The GSEs may amend or waive PMIERs at their discretion, impose additional conditions or restrictions on us and also have broad discretion to interpret PMIERs, which could impact the calculation of our “Available Assets” and/or “Minimum Required Assets”.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 designed to ensure that approved insurers have a strong internal risk management infrastructure and senior management oversight.</w:t>
      </w:r>
    </w:p>
    <w:p>
      <w:pPr>
        <w:spacing w:after="0" w:line="120"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During 2020, the GSEs issued several amendments to PMIERS. The December 4, 2020 PMIERS Amendment extended the application of reduced PMIERs capital factors to each non-performing loan that has an initial missed monthly payment occurring on or after March 1, 2020 and prior to April 1, 2021 and capital preservation period from March 31, 2021 to June 30, 2021. On June 30, 2021, the GSEs issued a revised and restated version of the PMIERs Amendment that replaced the version issued on December 4, 2020. The June 30, 2021 version allows loans that enter a forbearance plan due to a COVID-19 hardship on or after April 1, 2021 to remain eligible for extended application of the reduced PMIERs capital factor for as long as the loan remains in forbearance. The June 30, 2021 version also imposed temporary capital preservation provisions through December 31, 2021 that required an approved insurer to meet certain PMIERs minimum required asset buffers (150% in the third quarter of 2021 and 115% in the fourth quarter of 2021) or otherwise obtain prior written GSE approval before paying any dividends, pledging or transferring assets to an affiliate or entering into any new, or altering any existing, arrangements under tax sharing and intercompany expense-sharing agreements, even if such insurer had a surplus of available assets. For loans that became non-performing due to a COVID-19 hardship, PMIERs was temporarily amended with respect to each non-performing loan that (i) had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is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is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In addition, the PMIERs Amendment imposed permanent revisions to the risk-based required asset amount factor for non-performing loans for properties located in future FEMA-Declared Major Disaster Areas eligible for individual assistance.</w:t>
      </w:r>
    </w:p>
    <w:p>
      <w:pPr>
        <w:spacing w:after="0" w:line="13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Under PMIERs, we are subject to these operational and financial requirements. Each approved mortgage insurer is required to provide the GSEs with an annual certification and a quarterly report as to its compliance with PMIERs. As of December 31, 2021, we had estimated available assets of $5,077 million against $3,074 million net required assets under PMIERs compared to available assets of $4,588 million against $3,359 million net required assets as of December 31, 2020. The sufficiency ratio as of December 31, 2021 was 165% or $2,003 million above the published PMIERs requirements, compared to 137% or $1,229 million above the published PMIERs requirements as of December 31, 2020, which was above the requirement imposed by the GSE Restrictions that require us to maintain a PMIERs sufficiency ratio of 115% in 2021. For information with respect to higher PMIERs sufficiency ratios in future periods as a result of the GSE Restrictions, see “Item 1A. Risk Factors —Risks Relating to Our Business— 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5" w:name="page26"/>
    <w:bookmarkEnd w:id="25"/>
    <w:p>
      <w:pPr>
        <w:jc w:val="both"/>
        <w:ind w:firstLine="246"/>
        <w:spacing w:after="0" w:line="248" w:lineRule="auto"/>
        <w:rPr>
          <w:sz w:val="20"/>
          <w:szCs w:val="20"/>
          <w:color w:val="auto"/>
        </w:rPr>
      </w:pPr>
      <w:r>
        <w:rPr>
          <w:rFonts w:ascii="Arial" w:cs="Arial" w:eastAsia="Arial" w:hAnsi="Arial"/>
          <w:sz w:val="14"/>
          <w:szCs w:val="14"/>
          <w:color w:val="auto"/>
        </w:rPr>
        <w:t>In addition, our PMIERs required assets as of December 31, 2021 benefited from the application of a 0.30 multiplier applied to the risk-based required asset amount factor for certain non-performing loans.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their respective letters approving credit for reinsurance against PMIERs financial requirements, the GSEs require our mortgage insurance subsidiary not to exceed a maximum statutory RTC ratio of 18:1 or they reserve the right to 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connection with the COVID-19 pandemic, on September 30, 2020, GMICO entered into the Master Policy Alternatives Agreement, pursuant to which GMICO agreed to temporarily waive or grant alternatives, extensions and flexibilities around various requirements included in certain policies owned by the GSEs. The Master Policy Alternatives Agreement became effective on September 30, 2020 and was terminated on July 31, 2021. The Master Policy Alternatives Agreement included several provisions aimed at avoiding claim denial and cancellation of coverage resulting from the COVID-19 pandemic. In addition, pursuant to the Master Policy Alternatives Agreement, the GSEs provided monthly reports regarding which loans participate in forbearance plans granted in response to a COVID-19 hardship.</w:t>
      </w:r>
    </w:p>
    <w:p>
      <w:pPr>
        <w:spacing w:after="0" w:line="122"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In September 2020, subsequent to the issuance of our 2025 Senior Notes, the GSEs imposed the GSE Restrictions with respect to capital on our business. In May 2021, in connection with their conditional approval of the consummation of our IPO, the GSEs confirmed the GSE Restrictions will remain in effect until the following collective GSE Conditions are met: (i) GMICO obtains a “BBB+”/“Baa1” (or higher) rating from Standard &amp; Poor’s, Moody’s or Fitch for two consecutive quarters and (ii)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(b) the Company to retain available liquidity the greater of either 13.5% of outstanding EHI debt or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In addition, GMICO is not permitted to make any dividends or distributions that would cause the PMIERs Available Assets to fall below the PMIERs Minimum Required Assets percentages set forth in clause (a) above. In addition, in calculating PMIERs Available Assets relative to any dividend or distribution, PMIERs Available Assets shall be calculated consistent with the capital preservation provisions of the PMIERs Amendment, and any amendments thereto. Our Parent expects to continue own at least 80% of EHI common stock. However, if our Parent no longer owns directly or indirectly 50% or more of our common stock, Fannie Mae agreed to reconsider the GSE Restrictions. In addition, 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3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Although we expect we will continue to retain our eligibility status with the GSEs, there can be no assurance these conditions will continue. See “Item 1A. Risk Factors—Risks Relating to Regulatory Matters—If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 and “Management’s Discussion and Analysis of Financial Condition and Results of Operations—Trends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6" w:name="page27"/>
    <w:bookmarkEnd w:id="26"/>
    <w:p>
      <w:pPr>
        <w:ind w:left="240"/>
        <w:spacing w:after="0"/>
        <w:rPr>
          <w:sz w:val="20"/>
          <w:szCs w:val="20"/>
          <w:color w:val="auto"/>
        </w:rPr>
      </w:pPr>
      <w:r>
        <w:rPr>
          <w:rFonts w:ascii="Arial" w:cs="Arial" w:eastAsia="Arial" w:hAnsi="Arial"/>
          <w:sz w:val="14"/>
          <w:szCs w:val="14"/>
          <w:b w:val="1"/>
          <w:bCs w:val="1"/>
          <w:i w:val="1"/>
          <w:iCs w:val="1"/>
          <w:color w:val="auto"/>
        </w:rPr>
        <w:t>Other Federal Regulation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For example, in December 2020, the FHFA promulgated the Enterprise Capital Framework that imposes a new capital framework on the GSEs, including risk-based and leverage capital requirements and buffers in excess of regulatory minimums that can be drawn down in periods of financial stress. This rule is part of the process to potentially end the conservatorships of the GSEs. The final rule could cause the GSEs to increase their guarantee pricing in order to meet the new capital requirements.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Federal Laws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Real Estate Settlement Procedures Act of 1974 (“RESPA”)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possible sanctions of this law, which may be enforced by the CFPB, state insurance departments, state attorneys general and other enforcement authorities.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borrower-paid mortgage insurance (“BPMI”)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Fair Credit Reporting Act (“FCRA”)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27" w:name="page28"/>
    <w:bookmarkEnd w:id="27"/>
    <w:p>
      <w:pPr>
        <w:jc w:val="both"/>
        <w:spacing w:after="0" w:line="248" w:lineRule="auto"/>
        <w:rPr>
          <w:sz w:val="20"/>
          <w:szCs w:val="20"/>
          <w:color w:val="auto"/>
        </w:rPr>
      </w:pPr>
      <w:r>
        <w:rPr>
          <w:rFonts w:ascii="Arial" w:cs="Arial" w:eastAsia="Arial" w:hAnsi="Arial"/>
          <w:sz w:val="14"/>
          <w:szCs w:val="14"/>
          <w:color w:val="auto"/>
        </w:rPr>
        <w:t>under the Fair Housing Act on a disparate impact theory as well. There has been litigation over the Fair Housing Act involving other mortgage insurers, resulting in some cases in court-approved settlements.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Mortgage Servicing Rules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servicers from commencing foreclosure until 120 days after the borrower’s delinquency. Since 2014, the CFPB has clarified those rules through subsequent rule makings and provided guidance on how servicers must apply them in certain circumstances, including recent clarifications as a result of COVID-19.</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services can use to help consumers during the COVID-19 emergency, including those applicable to mortgage forbearance options under the CARES Act. The joint statement addressed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COVID-19. The forbearance could be extended for an additional 180 days, up to a year in total, or shortened at the request of the borrower. In addition, on February 25, 2021, the Federal Housing Finance Agency (“FHFA”) announced that borrowers with a mortgage backed by the GSEs who are in an active COVID-19 forbearance plan as of February 28, 2021 may request up to two additional forbearance extensions for a maximum of 18 months of total forbearance relief.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21" w:lineRule="exact"/>
        <w:rPr>
          <w:sz w:val="20"/>
          <w:szCs w:val="20"/>
          <w:color w:val="auto"/>
        </w:rPr>
      </w:pPr>
    </w:p>
    <w:p>
      <w:pPr>
        <w:jc w:val="both"/>
        <w:ind w:firstLine="246"/>
        <w:spacing w:after="0" w:line="269" w:lineRule="auto"/>
        <w:rPr>
          <w:sz w:val="20"/>
          <w:szCs w:val="20"/>
          <w:color w:val="auto"/>
        </w:rPr>
      </w:pPr>
      <w:r>
        <w:rPr>
          <w:rFonts w:ascii="Arial" w:cs="Arial" w:eastAsia="Arial" w:hAnsi="Arial"/>
          <w:sz w:val="13"/>
          <w:szCs w:val="13"/>
          <w:color w:val="auto"/>
        </w:rPr>
        <w:t>The foreclosure moratorium for mortgages that are purchased by the GSEs expired on July 31, 2021. However, on June 28, 2021 the CFPB issued a final rule to amend Regulation X of the Real Estate Settlement Procedures Act effective August 31, 2021 to assist mortgage borrowers affected by the COVID-19 emergency. The final rule established temporary procedural changes that require a loss mitigation review prior to a servicer’s first notice or foreclosure filing on certain mortgages. On June 29, 2021, the FHFA announced that servicers were immediately prohibited from making a first notice or foreclosure filing for mortgages backed by the GSEs that would be prohibited by the CFPB Regulation X Final Rule before it took effect on August 31, 2021. These announcements generally prohibited servicers from starting foreclosures on mortgages purchased by the GSEs until after December 31, 2021.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Regulation of Mortgage Origination</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Private mortgage insurers are also indirectly impacted by federal law and regulation affecting mortgage originators and lenders, purchasers of mortgage loans and governmental insurers. Among the most significant of these laws and regulations are the Dodd- Frank Act QM and the ability-to-repay (“ATR”) Requirement and the qualified residential mortgage (“QRM”) securitization risk retention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8" w:name="page29"/>
    <w:bookmarkEnd w:id="28"/>
    <w:p>
      <w:pPr>
        <w:ind w:left="240"/>
        <w:spacing w:after="0"/>
        <w:rPr>
          <w:sz w:val="20"/>
          <w:szCs w:val="20"/>
          <w:color w:val="auto"/>
        </w:rPr>
      </w:pPr>
      <w:r>
        <w:rPr>
          <w:rFonts w:ascii="Arial" w:cs="Arial" w:eastAsia="Arial" w:hAnsi="Arial"/>
          <w:sz w:val="14"/>
          <w:szCs w:val="14"/>
          <w:b w:val="1"/>
          <w:bCs w:val="1"/>
          <w:color w:val="auto"/>
        </w:rPr>
        <w:t>ATR and QM Rules</w:t>
      </w:r>
    </w:p>
    <w:p>
      <w:pPr>
        <w:spacing w:after="0" w:line="142"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The Dodd-Frank Act ATR Requirement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 exceed a DTI ratio of 43% to be eligible for QM status. Many of the loans that qualify under the QM Patch require credit enhancement, of which private mortgage insurance is the predominate form of coverage. In addition, on December 29, 2020, the CFPB promulgated two final rules amending the QM Rule: (i) the Amended QM Rule and (ii) the Seasoned QM Final Rule. The effective date of both rules was March 1, 2021, with a mandatory compliance date for the Amended QM Rule of July 1, 2021.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We believe that loans which previously qualified under the 43% DTI-based QM Rule definition and the QM Patch will continue to qualify under the new price-based (APOR) definition and therefore we expect little impact from this change.</w:t>
      </w:r>
    </w:p>
    <w:p>
      <w:pPr>
        <w:spacing w:after="0" w:line="13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Dodd-Frank Act separately granted statutory authority to HUD (for FHA-insured loans), the VA (for VA-guaranteed loans), the USDA and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Dodd-Frank Act requires an originator or issuer to retain a specified percentage of the credit risk exposure on securitized mortgages that do not meet the definition of a QRM. 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“Item 1A.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29" w:name="page30"/>
    <w:bookmarkEnd w:id="29"/>
    <w:p>
      <w:pPr>
        <w:ind w:left="240"/>
        <w:spacing w:after="0"/>
        <w:rPr>
          <w:sz w:val="20"/>
          <w:szCs w:val="20"/>
          <w:color w:val="auto"/>
        </w:rPr>
      </w:pPr>
      <w:r>
        <w:rPr>
          <w:rFonts w:ascii="Arial" w:cs="Arial" w:eastAsia="Arial" w:hAnsi="Arial"/>
          <w:sz w:val="14"/>
          <w:szCs w:val="14"/>
          <w:b w:val="1"/>
          <w:bCs w:val="1"/>
          <w:i w:val="1"/>
          <w:iCs w:val="1"/>
          <w:color w:val="auto"/>
        </w:rPr>
        <w:t>Basel III</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1988, the Basel Committee developed Basel I which set out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Following the financial crisis of 2008, the Basel Committee issued Basel III that established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Laws and Regulations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Privacy of Consumer Information and Cybersecurity</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Federal and state laws and regulations require financial institutions, including insurance companies, to protect, among other things, the security and confidentiality of consumer financial information and to notify 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Gramm-Leach-Bliley (“GLB”) Act and the FCRA impose privacy and information security requirements on financial institutions, including obligations to protect and safeguard consumers’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30" w:name="page31"/>
    <w:bookmarkEnd w:id="30"/>
    <w:p>
      <w:pPr>
        <w:jc w:val="both"/>
        <w:spacing w:after="0" w:line="245" w:lineRule="auto"/>
        <w:rPr>
          <w:sz w:val="20"/>
          <w:szCs w:val="20"/>
          <w:color w:val="auto"/>
        </w:rPr>
      </w:pPr>
      <w:r>
        <w:rPr>
          <w:rFonts w:ascii="Arial" w:cs="Arial" w:eastAsia="Arial" w:hAnsi="Arial"/>
          <w:sz w:val="14"/>
          <w:szCs w:val="14"/>
          <w:color w:val="auto"/>
        </w:rPr>
        <w:t>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 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New York Department Financial Services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comply with the NYDFS cybersecurity regulation. On February 4, 2021, the NYDFS issued a circular letter announcing its Cyber Insurance Risk Framework, which describes best practices the agency recommends NYDFS-regulated insurers use to manage cyber insurance risk, including rigorously measuring insureds’ cyber risk, educating and incentivizing insureds to adopt cybersecurity measures and training employees to better understand and evaluate cyber risk. The circular letter does not establish new legal standards, but does reflect the NYDFS’s interpretation of existing legal and regulatory requirements. In addition, on March 2, 2021, Virginia enacted the Virginia Consumer Data Protection Act (“VCDPA”) which will become effective on January 1, 2023. The VCDPA borrows heavily from the California Consumer Privacy Act of 2018 (the “CCPA”) and the European Union General Data Protection Regulation (“EU GDPR”), and includes exemptions that may be broader than the CCPA in certain respects, including an exemption for any data or financial institution subject to the GLB Act. Other states are also working on legislation related to consumer data privacy similar to the CCPA.</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October 2017, the NAIC adopted a new Insurance Data Security Model Law, which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31" w:name="page32"/>
    <w:bookmarkEnd w:id="31"/>
    <w:p>
      <w:pPr>
        <w:jc w:val="both"/>
        <w:spacing w:after="0" w:line="245" w:lineRule="auto"/>
        <w:rPr>
          <w:sz w:val="20"/>
          <w:szCs w:val="20"/>
          <w:color w:val="auto"/>
        </w:rPr>
      </w:pPr>
      <w:r>
        <w:rPr>
          <w:rFonts w:ascii="Arial" w:cs="Arial" w:eastAsia="Arial" w:hAnsi="Arial"/>
          <w:sz w:val="14"/>
          <w:szCs w:val="14"/>
          <w:color w:val="auto"/>
        </w:rPr>
        <w:t>although it is not yet an accreditation standard.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 cybersecurity risk management, prioritization and reporting to continue to be an area of significant regulatory focus by such regulatory bodies and self-regulatory organizations.</w:t>
      </w:r>
    </w:p>
    <w:p>
      <w:pPr>
        <w:spacing w:after="0" w:line="122"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On December 10, 2020, the California Attorney General proposed modifications to the regulations that went into effect on August 14, 2020. The abbreviated comment period for these proposed modifications closed on December 28, 2020. Following the closure of the public comment period, the California Attorney General submitted the regulations for approval by the OAL, which granted approval for the modified regulations on March 15, 2021.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The CCPA was amended by popular referendum due to a new ballot initiative, the California Privacy Rights Act (“CPRA”), which was included on the November 2020 ballot in California and approved by California voters. The majority of CPRA provisions will go into effect on January 1, 2023. In the interim, the CPRA will require additional investment in compliance programs and potential modifications to business processes. In particular, the CPRA will create a California data protection agency to enforce the statute and will impose new requirements relating to additional consumer rights, data minimization and other obligations. The CPRA also extends certain exemptions under the CCPA through December 31, 2022. Specifically, the CCPA exempts from its requirements certain information collected in employment or business-to-business contexts.</w:t>
      </w:r>
    </w:p>
    <w:p>
      <w:pPr>
        <w:spacing w:after="0" w:line="13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Annual Report on Form 10-K, Quarterly Reports on Form 10-Q, Current Reports on Form 8-K and amendments to those reports filed or furnished pursuant to Section 13(a) or 15(d) of the Exchange Act are available, without charge, on our website, www.enactmi.com, as soon as reasonably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4"/>
          <w:szCs w:val="14"/>
          <w:color w:val="auto"/>
        </w:rPr>
        <w:t>after we file or furnish such reports with the SEC. The public may read and copy any electronic materials we file or furnish with the SEC at the SEC’s website, www.sec.gov. Copies of our SEC filed or furnished reports are also available, without charge, from Enact Investor Relations, 8325 Six Forks Road, Raleigh, North Carolina, 27615.</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website also includes the charters of our Audit Committee, Nominating and Corporate Governance Committee, Risk Committee, Independent Capital Committee and, Compensation Committee, our Governance Principles and our company’s code of ethics. Copies of these materials also are available, without charge, from Enact Investor Relations at the address above.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28" w:lineRule="exact"/>
        <w:rPr>
          <w:sz w:val="20"/>
          <w:szCs w:val="20"/>
          <w:color w:val="auto"/>
        </w:rPr>
      </w:pPr>
    </w:p>
    <w:p>
      <w:pPr>
        <w:jc w:val="both"/>
        <w:ind w:firstLine="246"/>
        <w:spacing w:after="0" w:line="253" w:lineRule="auto"/>
        <w:rPr>
          <w:sz w:val="20"/>
          <w:szCs w:val="20"/>
          <w:color w:val="auto"/>
        </w:rPr>
      </w:pPr>
      <w:r>
        <w:rPr>
          <w:rFonts w:ascii="Arial" w:cs="Arial" w:eastAsia="Arial" w:hAnsi="Arial"/>
          <w:sz w:val="14"/>
          <w:szCs w:val="14"/>
          <w:i w:val="1"/>
          <w:iCs w:val="1"/>
          <w:color w:val="auto"/>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or on our behalf. These risks are not exclusive, and additional risks to which we are subject include, but are not limited to, the factors mentioned under “Cautionary Note Regarding Forward-Looking Statements” and the risks of our businesses described elsewhere in this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Summary of Risk Factors</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w:t>
      </w:r>
    </w:p>
    <w:p>
      <w:pPr>
        <w:spacing w:after="0" w:line="61" w:lineRule="exact"/>
        <w:rPr>
          <w:sz w:val="20"/>
          <w:szCs w:val="20"/>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ongoing COVID-19 pandemic has and could continue to adversely impact our business, results of operations and financial condition.</w:t>
      </w:r>
    </w:p>
    <w:p>
      <w:pPr>
        <w:spacing w:after="0" w:line="3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1"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deterioration in economic conditions or a decline in home prices may adversely affect our loss experience.</w:t>
      </w:r>
    </w:p>
    <w:p>
      <w:pPr>
        <w:spacing w:after="0" w:line="3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When we are notified that an insured loan is in default, we establish loss reserves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2"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2"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Changes to the charters or practices of the GSEs, including actions or decisions to decrease or discontinue the use of mortgage insurance, could adversely affect our business, results of operations and financial condition.</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amount of mortgage insurance we write could decline significantly if alternatives to private mortgage insurance are used or lower coverage levels of mortgage insurance are selected.</w:t>
      </w:r>
    </w:p>
    <w:p>
      <w:pPr>
        <w:spacing w:after="0" w:line="2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Changes in the composition of our business or undue concentration by customer or geographic region may adversely affect us by increasing our exposure to loss of business or adverse performance of a small segment of our portfolio.</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risk management programs may not be effective in identifying or adequate in controlling or mitigating the risks we face.</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extent of the benefits we realize from loss mitigation actions or programs in the future may be limited compared to years past.</w:t>
      </w:r>
    </w:p>
    <w:p>
      <w:pPr>
        <w:spacing w:after="0" w:line="26"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Interest rates and changes in rates could materially adversely affect our business, results of operations and financial condition.</w:t>
      </w:r>
    </w:p>
    <w:p>
      <w:pPr>
        <w:spacing w:after="0" w:line="3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CRT transactions may not be available, affordable or adequate to protect us against losses.</w:t>
      </w:r>
    </w:p>
    <w:p>
      <w:pPr>
        <w:spacing w:after="0" w:line="2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compete with government-owned enterprises and GSEs, and this may put us at a competitive disadvantage on pricing and other terms and conditions.</w:t>
      </w:r>
    </w:p>
    <w:p>
      <w:pPr>
        <w:spacing w:after="0" w:line="3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1"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servicers fail to adhere to appropriate servicing standards or experience disruptions to their businesses, our losses could increase.</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delegated underwriting program may subject our mortgage insurance business to unanticipated claims.</w:t>
      </w:r>
    </w:p>
    <w:p>
      <w:pPr>
        <w:spacing w:after="0" w:line="26"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Potential liabilities in connection with our contract underwriting services could have a material adverse effect on our business, results of operations and financial condition.</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premiums we agree to charge for our mortgage insurance coverage may not adequately compensate us for the risks and costs associated with the coverage we provide.</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decrease in the volume of Low-Down Payment Loan originations or an increase in the volume of mortgage insurance cancellations could result in a decline in our revenue.</w:t>
      </w:r>
    </w:p>
    <w:p>
      <w:pPr>
        <w:spacing w:after="0" w:line="2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requirements of being a public company may strain our resources and distract our management, which could make it difficult to manage our business and cause us to incur incremental costs.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Risks Relating to Regulatory Matters</w:t>
      </w:r>
    </w:p>
    <w:p>
      <w:pPr>
        <w:spacing w:after="0" w:line="61" w:lineRule="exact"/>
        <w:rPr>
          <w:sz w:val="20"/>
          <w:szCs w:val="20"/>
          <w:color w:val="auto"/>
        </w:rPr>
      </w:pPr>
    </w:p>
    <w:p>
      <w:pPr>
        <w:ind w:left="480" w:hanging="23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business is extensively regulated and changes in regulation may reduce our profitability and limit our growth.</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 adverse change in our regulatory requirements could have a material adverse impact on our business, results of operations and financial condition.</w:t>
      </w:r>
    </w:p>
    <w:p>
      <w:pPr>
        <w:spacing w:after="0" w:line="2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Inability to maintain sufficient regulatory capital could result in restrictions or prohibitions on our doing business or impact our financial strength ratings which could have a material adverse impact on our business, results of operations and financial condition.</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regulations that adversely affect the mortgage insurance markets in which we operate could affect our operations significantly and could reduce the demand for mortgage insurance.</w:t>
      </w:r>
    </w:p>
    <w:p>
      <w:pPr>
        <w:spacing w:after="0" w:line="3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Risks Relating to Our Continuing Relationship with our Parent</w:t>
      </w:r>
    </w:p>
    <w:p>
      <w:pPr>
        <w:spacing w:after="0" w:line="60" w:lineRule="exact"/>
        <w:rPr>
          <w:rFonts w:ascii="Arial" w:cs="Arial" w:eastAsia="Arial" w:hAnsi="Arial"/>
          <w:sz w:val="12"/>
          <w:szCs w:val="12"/>
          <w:color w:val="auto"/>
        </w:rPr>
      </w:pPr>
    </w:p>
    <w:p>
      <w:pPr>
        <w:ind w:left="480" w:hanging="23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Parent is able to exert significant influence over us and our corporate decisions.</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terms of our arrangements with our Parent may be more favorable than we will be able to obtain from an unaffiliated third party.</w:t>
      </w:r>
    </w:p>
    <w:p>
      <w:pPr>
        <w:spacing w:after="0" w:line="26" w:lineRule="exact"/>
        <w:rPr>
          <w:rFonts w:ascii="Arial" w:cs="Arial" w:eastAsia="Arial" w:hAnsi="Arial"/>
          <w:sz w:val="12"/>
          <w:szCs w:val="12"/>
          <w:color w:val="auto"/>
        </w:rPr>
      </w:pPr>
    </w:p>
    <w:p>
      <w:pPr>
        <w:ind w:left="480" w:hanging="23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could be affected by issues affecting our Parent in a way that could materially and adversely affect our business, financial condition, liquidity and prospects.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Taxation</w:t>
      </w:r>
    </w:p>
    <w:p>
      <w:pPr>
        <w:spacing w:after="0" w:line="61" w:lineRule="exact"/>
        <w:rPr>
          <w:sz w:val="20"/>
          <w:szCs w:val="20"/>
          <w:color w:val="auto"/>
        </w:rPr>
      </w:pPr>
    </w:p>
    <w:p>
      <w:pPr>
        <w:ind w:left="480" w:hanging="232"/>
        <w:spacing w:after="0"/>
        <w:tabs>
          <w:tab w:leader="none" w:pos="4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tax laws could have a material adverse effect on our business, cash flows, results of operations or financial condition.</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are jointly and severally liable for any U.S. federal income taxes owed by the Genworth Consolidated Group for taxable periods in which we are a member of the group.</w:t>
      </w:r>
    </w:p>
    <w:p>
      <w:pPr>
        <w:spacing w:after="0" w:line="36" w:lineRule="exact"/>
        <w:rPr>
          <w:rFonts w:ascii="Arial" w:cs="Arial" w:eastAsia="Arial" w:hAnsi="Arial"/>
          <w:sz w:val="12"/>
          <w:szCs w:val="12"/>
          <w:color w:val="auto"/>
        </w:rPr>
      </w:pPr>
    </w:p>
    <w:p>
      <w:pPr>
        <w:ind w:left="480" w:hanging="232"/>
        <w:spacing w:after="0"/>
        <w:tabs>
          <w:tab w:leader="none" w:pos="4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Parent’s continued ownership of at least 80% of our common stock may limit our ability to raise additional capital by issuing common stock to third parties.</w:t>
      </w:r>
    </w:p>
    <w:p>
      <w:pPr>
        <w:spacing w:after="0" w:line="26" w:lineRule="exact"/>
        <w:rPr>
          <w:rFonts w:ascii="Arial" w:cs="Arial" w:eastAsia="Arial" w:hAnsi="Arial"/>
          <w:sz w:val="12"/>
          <w:szCs w:val="12"/>
          <w:color w:val="auto"/>
        </w:rPr>
      </w:pPr>
    </w:p>
    <w:p>
      <w:pPr>
        <w:ind w:left="480" w:hanging="232"/>
        <w:spacing w:after="0"/>
        <w:tabs>
          <w:tab w:leader="none" w:pos="4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If we leave the Genworth Consolidated Group, we may be required to make payments under the Tax Allocation Agreement and may be required to pay more income tax in the future.</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61" w:lineRule="exact"/>
        <w:rPr>
          <w:sz w:val="20"/>
          <w:szCs w:val="20"/>
          <w:color w:val="auto"/>
        </w:rPr>
      </w:pPr>
    </w:p>
    <w:p>
      <w:pPr>
        <w:ind w:left="500" w:hanging="252"/>
        <w:spacing w:after="0" w:line="266" w:lineRule="auto"/>
        <w:tabs>
          <w:tab w:leader="none" w:pos="492"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12" w:lineRule="exact"/>
        <w:rPr>
          <w:rFonts w:ascii="Arial" w:cs="Arial" w:eastAsia="Arial" w:hAnsi="Arial"/>
          <w:sz w:val="12"/>
          <w:szCs w:val="12"/>
          <w:color w:val="auto"/>
        </w:rPr>
      </w:pPr>
    </w:p>
    <w:p>
      <w:pPr>
        <w:ind w:left="480" w:hanging="232"/>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business could be adversely impacted from deficiencies in our disclosure controls and procedures or internal control over financial reporting.</w:t>
      </w:r>
    </w:p>
    <w:p>
      <w:pPr>
        <w:spacing w:after="0" w:line="33" w:lineRule="exact"/>
        <w:rPr>
          <w:rFonts w:ascii="Arial" w:cs="Arial" w:eastAsia="Arial" w:hAnsi="Arial"/>
          <w:sz w:val="12"/>
          <w:szCs w:val="12"/>
          <w:color w:val="auto"/>
        </w:rPr>
      </w:pPr>
    </w:p>
    <w:p>
      <w:pPr>
        <w:ind w:left="500" w:hanging="25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2"/>
          <w:szCs w:val="12"/>
          <w:color w:val="auto"/>
        </w:rPr>
        <w:t>We may suffer losses in connection with future litigation and regulatory proceedings or other actions.</w:t>
      </w:r>
    </w:p>
    <w:p>
      <w:pPr>
        <w:spacing w:after="0" w:line="37" w:lineRule="exact"/>
        <w:rPr>
          <w:rFonts w:ascii="Arial" w:cs="Arial" w:eastAsia="Arial" w:hAnsi="Arial"/>
          <w:sz w:val="14"/>
          <w:szCs w:val="14"/>
          <w:color w:val="auto"/>
        </w:rPr>
      </w:pPr>
    </w:p>
    <w:p>
      <w:pPr>
        <w:ind w:left="500" w:hanging="252"/>
        <w:spacing w:after="0" w:line="243" w:lineRule="auto"/>
        <w:tabs>
          <w:tab w:leader="none" w:pos="497" w:val="left"/>
        </w:tabs>
        <w:numPr>
          <w:ilvl w:val="0"/>
          <w:numId w:val="16"/>
        </w:numPr>
        <w:rPr>
          <w:rFonts w:ascii="Arial" w:cs="Arial" w:eastAsia="Arial" w:hAnsi="Arial"/>
          <w:sz w:val="14"/>
          <w:szCs w:val="14"/>
          <w:color w:val="auto"/>
        </w:rPr>
      </w:pPr>
      <w:r>
        <w:rPr>
          <w:rFonts w:ascii="Arial" w:cs="Arial" w:eastAsia="Arial" w:hAnsi="Arial"/>
          <w:sz w:val="12"/>
          <w:szCs w:val="12"/>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25" w:lineRule="exact"/>
        <w:rPr>
          <w:rFonts w:ascii="Arial" w:cs="Arial" w:eastAsia="Arial" w:hAnsi="Arial"/>
          <w:sz w:val="14"/>
          <w:szCs w:val="14"/>
          <w:color w:val="auto"/>
        </w:rPr>
      </w:pPr>
    </w:p>
    <w:p>
      <w:pPr>
        <w:ind w:left="480" w:hanging="232"/>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If we are unable to on-board, retain, attract and motivate qualified employees or senior management, our business, results of operations and financial condition may be adversely impacted.</w:t>
      </w:r>
    </w:p>
    <w:p>
      <w:pPr>
        <w:spacing w:after="0" w:line="46" w:lineRule="exact"/>
        <w:rPr>
          <w:rFonts w:ascii="Arial" w:cs="Arial" w:eastAsia="Arial" w:hAnsi="Arial"/>
          <w:sz w:val="12"/>
          <w:szCs w:val="12"/>
          <w:color w:val="auto"/>
        </w:rPr>
      </w:pPr>
    </w:p>
    <w:p>
      <w:pPr>
        <w:ind w:left="500" w:hanging="252"/>
        <w:spacing w:after="0" w:line="243" w:lineRule="auto"/>
        <w:tabs>
          <w:tab w:leader="none" w:pos="497" w:val="left"/>
        </w:tabs>
        <w:numPr>
          <w:ilvl w:val="0"/>
          <w:numId w:val="16"/>
        </w:numPr>
        <w:rPr>
          <w:rFonts w:ascii="Arial" w:cs="Arial" w:eastAsia="Arial" w:hAnsi="Arial"/>
          <w:sz w:val="14"/>
          <w:szCs w:val="14"/>
          <w:color w:val="auto"/>
        </w:rPr>
      </w:pPr>
      <w:r>
        <w:rPr>
          <w:rFonts w:ascii="Arial" w:cs="Arial" w:eastAsia="Arial" w:hAnsi="Arial"/>
          <w:sz w:val="12"/>
          <w:szCs w:val="12"/>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15" w:lineRule="exact"/>
        <w:rPr>
          <w:rFonts w:ascii="Arial" w:cs="Arial" w:eastAsia="Arial" w:hAnsi="Arial"/>
          <w:sz w:val="14"/>
          <w:szCs w:val="14"/>
          <w:color w:val="auto"/>
        </w:rPr>
      </w:pPr>
    </w:p>
    <w:p>
      <w:pPr>
        <w:ind w:left="500" w:hanging="252"/>
        <w:spacing w:after="0" w:line="266" w:lineRule="auto"/>
        <w:tabs>
          <w:tab w:leader="none" w:pos="492"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occurrence of natural or man-made disasters or public health emergencies, including pandemics and disasters caused or exacerbated by climate change, could materially adversely affect our business, results of operations and financial condition.</w:t>
      </w:r>
    </w:p>
    <w:p>
      <w:pPr>
        <w:spacing w:after="0" w:line="22" w:lineRule="exact"/>
        <w:rPr>
          <w:rFonts w:ascii="Arial" w:cs="Arial" w:eastAsia="Arial" w:hAnsi="Arial"/>
          <w:sz w:val="12"/>
          <w:szCs w:val="12"/>
          <w:color w:val="auto"/>
        </w:rPr>
      </w:pPr>
    </w:p>
    <w:p>
      <w:pPr>
        <w:ind w:left="500" w:hanging="252"/>
        <w:spacing w:after="0" w:line="243" w:lineRule="auto"/>
        <w:tabs>
          <w:tab w:leader="none" w:pos="497" w:val="left"/>
        </w:tabs>
        <w:numPr>
          <w:ilvl w:val="0"/>
          <w:numId w:val="16"/>
        </w:numPr>
        <w:rPr>
          <w:rFonts w:ascii="Arial" w:cs="Arial" w:eastAsia="Arial" w:hAnsi="Arial"/>
          <w:sz w:val="14"/>
          <w:szCs w:val="14"/>
          <w:color w:val="auto"/>
        </w:rPr>
      </w:pPr>
      <w:r>
        <w:rPr>
          <w:rFonts w:ascii="Arial" w:cs="Arial" w:eastAsia="Arial" w:hAnsi="Arial"/>
          <w:sz w:val="12"/>
          <w:szCs w:val="12"/>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25" w:lineRule="exact"/>
        <w:rPr>
          <w:rFonts w:ascii="Arial" w:cs="Arial" w:eastAsia="Arial" w:hAnsi="Arial"/>
          <w:sz w:val="14"/>
          <w:szCs w:val="14"/>
          <w:color w:val="auto"/>
        </w:rPr>
      </w:pPr>
    </w:p>
    <w:p>
      <w:pPr>
        <w:ind w:left="480" w:hanging="232"/>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are a “controlled company” within the meaning of the Nasdaq rules and we qualify for exemptions from certain corporate governance requirements.</w:t>
      </w:r>
    </w:p>
    <w:p>
      <w:pPr>
        <w:spacing w:after="0" w:line="26" w:lineRule="exact"/>
        <w:rPr>
          <w:rFonts w:ascii="Arial" w:cs="Arial" w:eastAsia="Arial" w:hAnsi="Arial"/>
          <w:sz w:val="12"/>
          <w:szCs w:val="12"/>
          <w:color w:val="auto"/>
        </w:rPr>
      </w:pPr>
    </w:p>
    <w:p>
      <w:pPr>
        <w:ind w:left="500" w:hanging="252"/>
        <w:spacing w:after="0" w:line="266" w:lineRule="auto"/>
        <w:tabs>
          <w:tab w:leader="none" w:pos="492"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amended and restated certificate of incorporation contains exclusive forum provisions, which could limit our stockholders’ ability to choose the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5" w:right="319" w:bottom="1440" w:gutter="0" w:footer="0" w:header="0"/>
        </w:sectPr>
      </w:pPr>
    </w:p>
    <w:bookmarkStart w:id="35" w:name="page36"/>
    <w:bookmarkEnd w:id="35"/>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ongoing COVID-19 pandemic has and could continue to adversely impact our business, results of operations and financial condition.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COVID-19 pandemic continues to negatively impact economic and commercial activity and financial markets, both globally and within the United States. Stay-at-home orders, travel restrictions and closure of non-essential businesses and similar orders imposed across the United States to restrict the spread of COVID-19 have resulted in significant business and operational disruptions, including business closures, supply chain disruptions and mass layoffs and furloughs. Although most jurisdictions have subsequently lifted stay-at-home orders and moved to phased opening of businesses, capacity restrictions and health and safety recommendations that encourage continued physical distancing and working remotely have limited the ability of some businesses to return to pre-pandemic levels of activity and employment, and the potential for resurgence of cases of the disease (including as a result of the emergence of new variants) could lead to the reimposition of restrictions designed to curb its spread.</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Since the outbreak of the COVID-19 pandemic, there have been a number of governmental and GSE efforts to implement programs designed to assist individuals and businesses impacted by the virus. On March 27, 2020, the CARES Act was signed into law. 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COVID-19. The forbearance could be extended for an additional 180 days up to a year in total or shortened at the request of the borrower. In addition, on February 25, 2021, the FHFA announced that borrowers with a mortgage backed by the GSEs who are in an active COVID-19 forbearance plan as of February 28, 2021 may request up to two additional forbearance extensions for a maximum of 18 months of total forbearance relief.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foreclosure moratorium for mortgages that are purchased by the GSEs expired on July 31, 2021. However, on June 28, 2021 the Consumer Financial Protection Bureau (“CFPB”) issued a final rule to amend Regulation X of the Real Estate Settlement Procedures Act effective August 31, 2021 to assist mortgage borrowers affected by the COVID-19 pandemic. The final rule established temporary procedural changes that require a loss mitigation review prior to a servicer’s first notice or foreclosure filing on certain mortgages. On June 29, 2021, the FHFA announced that servicers were immediately prohibited from making a first notice or foreclosure filing for mortgages backed by the GSEs that would be prohibited by the CFPB Regulation X Final Rule before it took effect on August 31, 2021. These announcements generally prohibited servicers from starting foreclosures on mortgages purchased by the GSEs until after December 31, 2021.</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Any delays in foreclosure, including foreclosure moratoriums imposed by state and local governments and the GSEs due to COVID-19, could cause our losses to increase as expenses accrue for longer periods or if the value of foreclosed homes decline during such foreclosure delays. If we experience an increase in claim severity resulting in claim amounts that are higher than expected, our business, results of operations and financial condition could be adversely affected. In addition, the expiration or discontinuation of any governmental or GSE forbearance or foreclosure relief program could further exacerbate the financial condition of borrowers on loans we insure or economic conditions generally,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6" w:name="page37"/>
    <w:bookmarkEnd w:id="36"/>
    <w:p>
      <w:pPr>
        <w:jc w:val="both"/>
        <w:spacing w:after="0" w:line="245" w:lineRule="auto"/>
        <w:rPr>
          <w:sz w:val="20"/>
          <w:szCs w:val="20"/>
          <w:color w:val="auto"/>
        </w:rPr>
      </w:pPr>
      <w:r>
        <w:rPr>
          <w:rFonts w:ascii="Arial" w:cs="Arial" w:eastAsia="Arial" w:hAnsi="Arial"/>
          <w:sz w:val="14"/>
          <w:szCs w:val="14"/>
          <w:color w:val="auto"/>
        </w:rPr>
        <w:t>We have taken steps to mitigate some of the risks associated with COVID-19. However, we are currently unable to estimate the magnitude of the impact that the pandemic will ultimately have on our business, results of operations and financial condition. While the impact of the developing COVID-19 pandemic is difficult to predict, the related outcomes and impact on our business will depend on the spread and duration of the pandemic, including the duration of any resurgences of COVID-19 and its variants, the effectiveness of vaccines, the willingness of people to be vaccinated,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 business continuity program by transitioning to a work-from-home virtual workforce. We plan to initiate our return to the office in March 2022 and intend to operate under a hybrid office and work-from-home model for the near term.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expect that COVID-19 and measures taken to reduce its spread will continue to pervasively impact our business, subjecting us to the following risks:</w:t>
      </w:r>
    </w:p>
    <w:p>
      <w:pPr>
        <w:spacing w:after="0" w:line="126" w:lineRule="exact"/>
        <w:rPr>
          <w:sz w:val="20"/>
          <w:szCs w:val="20"/>
          <w:color w:val="auto"/>
        </w:rPr>
      </w:pPr>
    </w:p>
    <w:p>
      <w:pPr>
        <w:jc w:val="both"/>
        <w:ind w:left="500" w:hanging="252"/>
        <w:spacing w:after="0" w:line="246" w:lineRule="auto"/>
        <w:tabs>
          <w:tab w:leader="none" w:pos="4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pandemic has resulted in a material increase in new defaults as borrowers fail to make timely payments on their mortgages, primarily as a result of unemployment and mortgage forbearance programs that allow borrowers to defer mortgage payments. While new defaults are currently lower than at the height of the COVID-19 pandemic, the rise of new variants could result in an increase of new defaults. This may impact our business’ ability to remain compliant with the PMIERs’ financial requirements.</w:t>
      </w:r>
    </w:p>
    <w:p>
      <w:pPr>
        <w:spacing w:after="0" w:line="120" w:lineRule="exact"/>
        <w:rPr>
          <w:rFonts w:ascii="Arial" w:cs="Arial" w:eastAsia="Arial" w:hAnsi="Arial"/>
          <w:sz w:val="14"/>
          <w:szCs w:val="14"/>
          <w:color w:val="auto"/>
        </w:rPr>
      </w:pPr>
    </w:p>
    <w:p>
      <w:pPr>
        <w:jc w:val="both"/>
        <w:ind w:left="500" w:hanging="252"/>
        <w:spacing w:after="0" w:line="246" w:lineRule="auto"/>
        <w:tabs>
          <w:tab w:leader="none" w:pos="4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pandemic could place a significant strain on the operations and financial condition of mortgage servicers, which could disrupt the servicing or servicing transfers of mortgage loans covered by our insurance policies or result in servicers failing to timely remit premiums and appropriately report the status of loans, including whether the loans are subject to a COVID-19-related forbearance program.</w:t>
      </w:r>
    </w:p>
    <w:p>
      <w:pPr>
        <w:spacing w:after="0" w:line="120"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could receive fewer mortgage insurance premiums as a result of loans going into default or be unable to cancel insurance coverage for nonpayment of premiums due to state moratoriums that could temporarily suspend such actions by insurers.</w:t>
      </w:r>
    </w:p>
    <w:p>
      <w:pPr>
        <w:spacing w:after="0" w:line="118"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Decreases in overall policy persistency and an increased level of mortgage loan refinancings, driven by historically low mortgage interest rates as a result of U.S. monetary policy following COVID-19 and other reasons, could reduce the profitability of our insurance portfolio.</w:t>
      </w:r>
    </w:p>
    <w:p>
      <w:pPr>
        <w:spacing w:after="0" w:line="118" w:lineRule="exact"/>
        <w:rPr>
          <w:rFonts w:ascii="Arial" w:cs="Arial" w:eastAsia="Arial" w:hAnsi="Arial"/>
          <w:sz w:val="14"/>
          <w:szCs w:val="14"/>
          <w:color w:val="auto"/>
        </w:rPr>
      </w:pPr>
    </w:p>
    <w:p>
      <w:pPr>
        <w:jc w:val="both"/>
        <w:ind w:left="500" w:hanging="252"/>
        <w:spacing w:after="0" w:line="246" w:lineRule="auto"/>
        <w:tabs>
          <w:tab w:leader="none" w:pos="4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Stimulative monetary policy, including Federal Reserve bond purchases and reductions in the Federal Reserve’s target federal funds rate to 0.0% - 0.25% beginning March 2020, have reduced our net interest income and margins, and the potential for future interest rate increases due to inflation resulting from fiscal and monetary stimulus provided by the federal government as a result of the COVID-19 pandemic could impact net investment income.</w:t>
      </w:r>
    </w:p>
    <w:p>
      <w:pPr>
        <w:spacing w:after="0" w:line="120" w:lineRule="exact"/>
        <w:rPr>
          <w:rFonts w:ascii="Arial" w:cs="Arial" w:eastAsia="Arial" w:hAnsi="Arial"/>
          <w:sz w:val="14"/>
          <w:szCs w:val="14"/>
          <w:color w:val="auto"/>
        </w:rPr>
      </w:pPr>
    </w:p>
    <w:p>
      <w:pPr>
        <w:jc w:val="both"/>
        <w:ind w:left="500" w:hanging="252"/>
        <w:spacing w:after="0" w:line="245" w:lineRule="auto"/>
        <w:tabs>
          <w:tab w:leader="none" w:pos="49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 result of COVID-19-related relief programs, many loans in our delinquency inventory have entered forbearance plans and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result in a cure or claim when its forbearance plan ends. The severity of losses associated with loans whose delinquencies do not cure will depend on the duration of the forbearance and economic conditions at that time and our current estimates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37" w:name="page38"/>
    <w:bookmarkEnd w:id="37"/>
    <w:p>
      <w:pPr>
        <w:jc w:val="both"/>
        <w:ind w:left="260"/>
        <w:spacing w:after="0" w:line="246" w:lineRule="auto"/>
        <w:rPr>
          <w:sz w:val="20"/>
          <w:szCs w:val="20"/>
          <w:color w:val="auto"/>
        </w:rPr>
      </w:pPr>
      <w:r>
        <w:rPr>
          <w:rFonts w:ascii="Arial" w:cs="Arial" w:eastAsia="Arial" w:hAnsi="Arial"/>
          <w:sz w:val="14"/>
          <w:szCs w:val="14"/>
          <w:color w:val="auto"/>
        </w:rPr>
        <w:t>the number of delinquencies for which we will receive claims, and the amount, or severity, of each claim, could increase or decrease. For new loans originated and insured on or after October 1, 2014, our mortgage insurance policies limit the number of months of unpaid interest and associated expenses that are included in the mortgage insurance claim amount to a maximum of 36 months.</w:t>
      </w:r>
    </w:p>
    <w:p>
      <w:pPr>
        <w:spacing w:after="0" w:line="120" w:lineRule="exact"/>
        <w:rPr>
          <w:sz w:val="20"/>
          <w:szCs w:val="20"/>
          <w:color w:val="auto"/>
        </w:rPr>
      </w:pPr>
    </w:p>
    <w:p>
      <w:pPr>
        <w:ind w:left="260" w:hanging="252"/>
        <w:spacing w:after="0" w:line="248"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While vaccines for COVID-19 have been developed, approved and distributed, there is no guarantee that any such vaccine will be entirely effective, work as expected, be effective on new variants of COVID-19, or will be accepted on a significant scale across all geographies.</w:t>
      </w:r>
    </w:p>
    <w:p>
      <w:pPr>
        <w:spacing w:after="0" w:line="118" w:lineRule="exact"/>
        <w:rPr>
          <w:rFonts w:ascii="Arial" w:cs="Arial" w:eastAsia="Arial" w:hAnsi="Arial"/>
          <w:sz w:val="14"/>
          <w:szCs w:val="14"/>
          <w:color w:val="auto"/>
        </w:rPr>
      </w:pPr>
    </w:p>
    <w:p>
      <w:pPr>
        <w:jc w:val="both"/>
        <w:ind w:left="260" w:hanging="252"/>
        <w:spacing w:after="0" w:line="246"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extended duration of the COVID-19 pandemic, the resurgence of cases of the disease (including as a result of the emergence of new COVID-19 variants)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120" w:lineRule="exact"/>
        <w:rPr>
          <w:rFonts w:ascii="Arial" w:cs="Arial" w:eastAsia="Arial" w:hAnsi="Arial"/>
          <w:sz w:val="14"/>
          <w:szCs w:val="14"/>
          <w:color w:val="auto"/>
        </w:rPr>
      </w:pPr>
    </w:p>
    <w:p>
      <w:pPr>
        <w:jc w:val="both"/>
        <w:ind w:left="260" w:hanging="252"/>
        <w:spacing w:after="0" w:line="245"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GSEs’ business practices and policies have changed in response to COVID-19, with a shift in their primary objectives to supporting borrowers impacted by the pandemic and protecting the 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122" w:lineRule="exact"/>
        <w:rPr>
          <w:rFonts w:ascii="Arial" w:cs="Arial" w:eastAsia="Arial" w:hAnsi="Arial"/>
          <w:sz w:val="14"/>
          <w:szCs w:val="14"/>
          <w:color w:val="auto"/>
        </w:rPr>
      </w:pPr>
    </w:p>
    <w:p>
      <w:pPr>
        <w:jc w:val="both"/>
        <w:ind w:left="260" w:hanging="252"/>
        <w:spacing w:after="0" w:line="245"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number of home purchases or mortgage refinancings may continue to be materially affected by the impact of the pandemic on general economic conditions, including the unemployment rate and the availability of credit for mortgage loans. In addition, public and private sector initiatives to reduce the transmission of COVID-19, such as the imposition of restrictions on business activities, may continue to affect the number of new mortgages available for us to insure as real estate markets confront challenges in the mortgage origination and home sale process created by social distancing, widespread adoption of remote work policies and other measures.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121" w:lineRule="exact"/>
        <w:rPr>
          <w:rFonts w:ascii="Arial" w:cs="Arial" w:eastAsia="Arial" w:hAnsi="Arial"/>
          <w:sz w:val="14"/>
          <w:szCs w:val="14"/>
          <w:color w:val="auto"/>
        </w:rPr>
      </w:pPr>
    </w:p>
    <w:p>
      <w:pPr>
        <w:jc w:val="both"/>
        <w:ind w:left="260" w:hanging="252"/>
        <w:spacing w:after="0" w:line="245"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cures for loan defaults resulting from the pandemic are emerging more slowly than we had previously experienced in the context of other FEMA-declared emergencies due to extended forbearance programs. While we continue to expect forbearance programs to benefit ultimate cure rates, this emergence may result in ultimate cure rates below our expectations. Consequently, the ultimate claim rate may be higher than our expectations.</w:t>
      </w:r>
    </w:p>
    <w:p>
      <w:pPr>
        <w:spacing w:after="0" w:line="122" w:lineRule="exact"/>
        <w:rPr>
          <w:rFonts w:ascii="Arial" w:cs="Arial" w:eastAsia="Arial" w:hAnsi="Arial"/>
          <w:sz w:val="14"/>
          <w:szCs w:val="14"/>
          <w:color w:val="auto"/>
        </w:rPr>
      </w:pPr>
    </w:p>
    <w:p>
      <w:pPr>
        <w:ind w:left="260" w:hanging="252"/>
        <w:spacing w:after="0" w:line="248"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118" w:lineRule="exact"/>
        <w:rPr>
          <w:rFonts w:ascii="Arial" w:cs="Arial" w:eastAsia="Arial" w:hAnsi="Arial"/>
          <w:sz w:val="14"/>
          <w:szCs w:val="14"/>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Increases in our internal controls and procedures needed to manage increased risks associated with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120015</wp:posOffset>
            </wp:positionV>
            <wp:extent cx="719074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040"/>
          </w:cols>
          <w:pgMar w:left="540" w:top="1247" w:right="319" w:bottom="1440" w:gutter="0" w:footer="0" w:header="0"/>
        </w:sectPr>
      </w:pPr>
    </w:p>
    <w:bookmarkStart w:id="38" w:name="page39"/>
    <w:bookmarkEnd w:id="38"/>
    <w:p>
      <w:pPr>
        <w:jc w:val="both"/>
        <w:ind w:left="500" w:hanging="252"/>
        <w:spacing w:after="0" w:line="246" w:lineRule="auto"/>
        <w:tabs>
          <w:tab w:leader="none" w:pos="49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Ultimately, the impact of COVID-19 on our business will depend on, among other things: the extent and duration of the pandemic, the severity of the disease and the number of people infected with the virus and effectiveness of vaccines; the willingness of people to be vaccinated; the resurgence of cases of the disease (including as a result of the emergence of new variants) and the reimposition of restrictions designed to curb its spread; the effects on the economy of the pandemic and of the measures taken by governmental authorities and other third parties restricting day-to-day life; governmental and private party programs implemented to assist new and existing borrowers, including programs and policies instituted by the GSEs to assist borrowers experiencing a COVID-19- 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harm to our business if they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 regarding the ultimate impact on our business, business prospects, results of operations and financial condition and our estimates or predictions regarding such impact may be materially wrong.</w:t>
      </w:r>
    </w:p>
    <w:p>
      <w:pPr>
        <w:spacing w:after="0" w:line="105" w:lineRule="exact"/>
        <w:rPr>
          <w:sz w:val="20"/>
          <w:szCs w:val="20"/>
          <w:color w:val="auto"/>
        </w:rPr>
      </w:pPr>
    </w:p>
    <w:p>
      <w:pPr>
        <w:jc w:val="both"/>
        <w:spacing w:after="0" w:line="312" w:lineRule="auto"/>
        <w:rPr>
          <w:sz w:val="20"/>
          <w:szCs w:val="20"/>
          <w:color w:val="auto"/>
        </w:rPr>
      </w:pPr>
      <w:r>
        <w:rPr>
          <w:rFonts w:ascii="Arial" w:cs="Arial" w:eastAsia="Arial" w:hAnsi="Arial"/>
          <w:sz w:val="13"/>
          <w:szCs w:val="13"/>
          <w:b w:val="1"/>
          <w:bCs w:val="1"/>
          <w:i w:val="1"/>
          <w:iCs w:val="1"/>
          <w:color w:val="auto"/>
        </w:rPr>
        <w:t>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79" w:lineRule="exact"/>
        <w:rPr>
          <w:sz w:val="20"/>
          <w:szCs w:val="20"/>
          <w:color w:val="auto"/>
        </w:rPr>
      </w:pPr>
    </w:p>
    <w:p>
      <w:pPr>
        <w:jc w:val="both"/>
        <w:ind w:firstLine="246"/>
        <w:spacing w:after="0" w:line="267" w:lineRule="auto"/>
        <w:rPr>
          <w:sz w:val="20"/>
          <w:szCs w:val="20"/>
          <w:color w:val="auto"/>
        </w:rPr>
      </w:pPr>
      <w:r>
        <w:rPr>
          <w:rFonts w:ascii="Arial" w:cs="Arial" w:eastAsia="Arial" w:hAnsi="Arial"/>
          <w:sz w:val="13"/>
          <w:szCs w:val="13"/>
          <w:color w:val="auto"/>
        </w:rPr>
        <w:t>In furtherance of Fannie Mae and Freddie Mac’s respective charter requirements, each GSE adopted PMIERs effective December 31, 2015. On September 27, 2018, the GSEs issued a revised version of the PMIERs, which became effective March 31, 2019. During 2020, the GSEs issued guidance amending PMIERs further, in light of COVID-19 (as amended, the “PMIERs Amendment”). The December 4, 2020 version of the PMIERS Amendment extended the application of reduced PMIERs capital factors to each non-performing loan that had an initial missed monthly payment occurring on or after March 1, 2020 and prior to April 1, 2021 and capital preservation period from March 31, 2021 to June 30, 2021. On June 30, 2021, the GSEs issued a revised and restated version of the PMIERs Amendment that replaced the version issued on December 4, 2020. The June 30, 2021 version allows loans that enter a forbearance plan due to a COVID-19 hardship on or after April 1, 2021 to remain eligible for extended application of the reduced PMIERs capital factor for as long as the loan remains in forbearance. The June 30, 2021 version also extended the capital preservation period through December 31, 2021 with certain exceptions, as described below.</w:t>
      </w:r>
    </w:p>
    <w:p>
      <w:pPr>
        <w:spacing w:after="0" w:line="108"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FHFA as and after they are implemented; (ii) the future performance of the housing market, including as a result of COVID-19 and the length and speed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39" w:name="page40"/>
    <w:bookmarkEnd w:id="39"/>
    <w:p>
      <w:pPr>
        <w:jc w:val="both"/>
        <w:spacing w:after="0" w:line="245" w:lineRule="auto"/>
        <w:rPr>
          <w:sz w:val="20"/>
          <w:szCs w:val="20"/>
          <w:color w:val="auto"/>
        </w:rPr>
      </w:pPr>
      <w:r>
        <w:rPr>
          <w:rFonts w:ascii="Arial" w:cs="Arial" w:eastAsia="Arial" w:hAnsi="Arial"/>
          <w:sz w:val="14"/>
          <w:szCs w:val="14"/>
          <w:color w:val="auto"/>
        </w:rPr>
        <w:t>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 interpret PMIERs, which could impact the calculation of our “Available Assets” and/or “Minimum Required Assets.”</w:t>
      </w:r>
    </w:p>
    <w:p>
      <w:pPr>
        <w:spacing w:after="0" w:line="121"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The PMIERs Amendment implemented both permanent and temporary revisions to PMIERs. For loans that became non-performing due to a COVID-19 hardship, PMIERs was temporarily amended with respect to each non-performing loan that (i) had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imposed temporary capital preservation provisions through December 31, 2021 that required an approved insurer to meet certain PMIERs minimum required asset buffers (150% in the third quarter of 2021 and 115% in the fourth quarter of 2021) or otherwise obtain prior written GSE approval before paying any dividends, pledging or transferring assets to an affiliate or entering into any new, or altering any existing, arrangements under tax sharing and intercompany expense-sharing agreements even if such insurer had a surplus of available assets. In addition, the PMIERs Amendment imposed permanent revisions to the risk-based required asset amount factor for non-performing loans for properties located in future Federal Emergency Management Agency (“FEMA”) Declared Major Disaster Areas eligible for individual assistance. Therefore, the PMIERs Amendment may restrict or prevent GMICO from paying us dividends.</w:t>
      </w:r>
    </w:p>
    <w:p>
      <w:pPr>
        <w:spacing w:after="0" w:line="12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GMICO not to exceed a maximum ratio of RIF to statutory capital (“RTC ratio”) of 18:1 or they reserve the right to reevaluate the amount of PMIERs credit for reinsurance and other CRT transactions available under PMIERs indicated in their approval letters. There can be no assurance we will continue to meet the conditions contained in the GSE letters approving credit for reinsurance and other CRT transactions against PMIERs financial requirements. Freddie Mac has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3"/>
          <w:szCs w:val="13"/>
          <w:color w:val="auto"/>
        </w:rPr>
        <w:t>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0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Additionally, compliance with PMIERs requires us to seek the GSEs’ prior approval before taking many actions, including implementing certain new products or services, entering into inter-company agreements among others. PMIERs’ prior approval requirements could prohibit, materially modify or delay us in our intended course of action.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22"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In September 2020, subsequent to the issuance of our $750 million aggregate principal amount of Senior Notes due 2025, the GSEs imposed certain restrictions (the “GSE Restrictions”) with respect to capital on our business. In May 2021, in connection with their conditional approval of the consummation of our IPO, the GSEs confirmed the GSE Restrictions will remain in effect until the following collective conditions (the “GSE Conditions”) are met: (i) GMICO obtains a “BBB+”/“Baa1” (or higher) rating from Standard &amp; Poor’s Financial Services, LLC (“Standard &amp; Poor’s”), Moody’s Investor Service, Inc. (“Moody’s”) or Fitch Ratings, Inc. (“Fitch”) for two consecutive quarters and (ii)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(b) the Company to retain available liquidity the greater of either 13.5% of outstanding EHI debt or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In addition, GMICO is not permitted to make any dividends or distributions that would cause the PMIERs Available Assets to fall below the PMIERs Minimum Required Assets percentages set forth in clause (a) above. In addition, in calculating PMIERs Available Assets relative to any dividend or distribution, PMIERs Available Assets shall be calculated consistent with the capital preservation provisions of the PMIERs Amendment, and any amendments thereto. We distributed $437 million of the net proceeds from the 2025 Senior Notes to GHI at the closing of the offering of our 2025 Senior Notes. Thereafter, our Parent repaid debt maturities in an amount equal to the net proceeds of the offering of our 2025 Senior Notes (less certain amounts held back to fund interest payments and offering costs and expenses). In March 2021, our Parent sold all of its common shares in Genworth Mortgage Insurance Australia Limited (“GMA”), which resulted in a mandatory payment of approximately £176 million, including £2 million of interest, under the Promissory Note entered into in connection with the AXA Settlement, leaving a balance owed of approximately £249 million ($344 million), which was subsequently paid.</w:t>
      </w:r>
    </w:p>
    <w:p>
      <w:pPr>
        <w:spacing w:after="0" w:line="10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addition, Fannie Mae agreed to reconsider the GSE Restrictions if our Parent were to own 50% or less of EHI at any point prior to their expiration. We will continue to assess our options. Currently, our Parent owns greater than 80% of EHI common stock, and has informed us they have no intention of entering into any transaction that would result in Parent owning 70% or less of our common stock indirectly. In addition, we have also entered into a Tax Allocation Agreement with our Parent that depends on our Parent’s continuing ownership of at least 80% of our common stock by both voting power and value. In the event that the Parent were to hold less than 80% of our common stock by either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1" w:name="page42"/>
    <w:bookmarkEnd w:id="41"/>
    <w:p>
      <w:pPr>
        <w:jc w:val="both"/>
        <w:spacing w:after="0" w:line="246" w:lineRule="auto"/>
        <w:rPr>
          <w:sz w:val="20"/>
          <w:szCs w:val="20"/>
          <w:color w:val="auto"/>
        </w:rPr>
      </w:pPr>
      <w:r>
        <w:rPr>
          <w:rFonts w:ascii="Arial" w:cs="Arial" w:eastAsia="Arial" w:hAnsi="Arial"/>
          <w:sz w:val="14"/>
          <w:szCs w:val="14"/>
          <w:color w:val="auto"/>
        </w:rPr>
        <w:t>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“Management’s Discussion and Analysis of Financial Condition and Results of Operations—Trends and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deterioration in economic conditions or a decline in home prices may adversely affect our loss experience.</w:t>
      </w:r>
    </w:p>
    <w:p>
      <w:pPr>
        <w:spacing w:after="0" w:line="142"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Rising unemployment rates and deterioration in economic conditions, including as a result of COVID-19, across the United States or in specific regional economies, generally increase the likelihood of borrower defaults and can also adversely affect housing values, which increases our risk of loss. Economic conditions, including unemployment rates and housing values, may also be adversely affected by the current or anticipated impact of climate change, including any regulations intended to address it.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increasing the likelihood of a default followed by a claim if borrowers experience a job loss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The seasonally-adjusted Purchase-Only U.S. Home Price Index of the FHFA, which is based on single-family properties whose mortgages have been purchased or securitized by Fannie Mae or Freddie Mac, indicates that home prices increased by 17.5% in November 2021, after increasing by 11.6%, 5.9%, 5.6% and 6.2% in 2020, 2019, 2018 and 2017, respectively. The price-to-income ratio in some markets exceeds its historical average, in part as a result of recent home price appreciation outpacing increases in income. Given this steady rise in such home prices from 2016 through 2019 and steep rise in home prices in 2020 and 2021, we could experience a higher frequency and severity of defaults should home values decline in 2022 or subsequent years. Any of these events may have a material adverse effect on our business, results of operations and financial condition.</w:t>
      </w:r>
    </w:p>
    <w:p>
      <w:pPr>
        <w:spacing w:after="0" w:line="13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Housing values could also decline due to specific trends that would affect the housing and mortgage markets, such as decreased demand for homes, including as a result of social distancing, widespread adoption of remote work policies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amount of the loss we could suffer depends in part on whether the home of a borrower who defaults on a mortgage can be sold for an amount that will cover the unpaid principal balance,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2" w:name="page43"/>
    <w:bookmarkEnd w:id="42"/>
    <w:p>
      <w:pPr>
        <w:jc w:val="both"/>
        <w:spacing w:after="0" w:line="245" w:lineRule="auto"/>
        <w:rPr>
          <w:sz w:val="20"/>
          <w:szCs w:val="20"/>
          <w:color w:val="auto"/>
        </w:rPr>
      </w:pPr>
      <w:r>
        <w:rPr>
          <w:rFonts w:ascii="Arial" w:cs="Arial" w:eastAsia="Arial" w:hAnsi="Arial"/>
          <w:sz w:val="14"/>
          <w:szCs w:val="14"/>
          <w:color w:val="auto"/>
        </w:rPr>
        <w:t>and the expenses of the sale. In previous economic slowdowns in the United States, we experienced a pronounced weakness in the housing market, as well as declines in home prices. These economic slowdowns and the resulting impact on the housing market drove high levels of delinquencies. Mortgage forbearance programs and any delays in foreclosure processes, including foreclosure moratoriums imposed by state and local governments due to COVID-19, could cause our losses to increase as expenses accrue for longer periods or if the value of foreclosed homes further decline during such delays; however, for new loans originated and insured on or after October 1, 2014, our mortgage insurance policies limit the number of months of unpaid interest and associated expenses that are included in the mortgage insurance claim amount to a maximum of 36 months. If we experience an increase in the number or the cost of delinquencies or losses that are higher than expected, including as a result of borrowers’ exit from forbearance programs upon such borrowers reaching the maximum term of forbearance, our business, results of operations and financial condition could be adversely affected.</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When we are notified that an insured loan is in default, we establish loss reserves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1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practice, consistent with industry practice and SAP applicable to insurance companies, is to establish loss reserves in our consolidated U.S.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servicers.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establishment of loss reserves is subject to inherent uncertainty and requires significant judgment and numerous assumptions by management, and changes in assumptions or deviations of actual experience for assumptions can have material impacts on our loss reserves and net income (loss). Thus, our loss estimates may vary widely from quarter to quarter. We establish loss reserves using our best estimates of claim rates and 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relate to these factors that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reserves for such claims. Small changes in assumptions or small deviations of actual experience from assumptions can have, and in the past have had, material impacts on our reserves, results of operations and financial condition.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addition, sudden and/or unexpected deterioration of economic conditions, including as a result of COVID-19, may cause our estimates of loss reserves to be materially understated.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Our results of operations, financial condition and liquidity could be adversely impacted if, and to the extent, our actual losses are greater than our loss and IBNR reserves.</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saw a significant increase in reserves in 2020. While reserves declined in 2021, reserves remained above pre-pandemic levels driven mostly by higher new delinquencies from borrower forbearance due to COVID-19. We expect a large portion of these delinquencies to cure; however, reserves recorded related to borrower forbearance rely on a high degree of estimation and assumptions that lack comparable historic data. Therefore, it is possible we could have higher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3" w:name="page44"/>
    <w:bookmarkEnd w:id="43"/>
    <w:p>
      <w:pPr>
        <w:jc w:val="both"/>
        <w:spacing w:after="0" w:line="245" w:lineRule="auto"/>
        <w:rPr>
          <w:sz w:val="20"/>
          <w:szCs w:val="20"/>
          <w:color w:val="auto"/>
        </w:rPr>
      </w:pPr>
      <w:r>
        <w:rPr>
          <w:rFonts w:ascii="Arial" w:cs="Arial" w:eastAsia="Arial" w:hAnsi="Arial"/>
          <w:sz w:val="14"/>
          <w:szCs w:val="14"/>
          <w:color w:val="auto"/>
        </w:rPr>
        <w:t>related to these loss reserves if they do not cure as we expect. We expect that delinquencies will remain volatile and could increase or decrease, including as borrowers’ exit from forbearance programs upon reaching the maximum term of forbearance and depending on the level of economic recovery from COVID-19. As a result, we expect our losses incurred and loss reserves to be volatile in future periods. The impact of COVID-19 on the number of delinquencies, our losses incurred and loss reserves will be influenced by various factors, including those discussed in our risk factor titled “—The ongoing COVID-19 pandemic has and could continue to adversely impact our business, results of operations and financial condition.”</w:t>
      </w:r>
    </w:p>
    <w:p>
      <w:pPr>
        <w:spacing w:after="0" w:line="122"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0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additional information on reserves, including the financial impact of some of these risks, see “Management’s Discussion and Analysis of Financial Condition and Results of Operations—Critical Accounting Estimates.”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02"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ongoing COVID-19 pandemic has and could continue to adversely impact our business, results of operations and financial condition.” The limitations of our models may be material and could lead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make wrong or sub-optimal decisions in aspects of our business, which could have a material adverse effect on our business, results of operations and financial condition.</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0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ongoing COVID-19 pandemic has and could continue to adversely impact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By mid-2019, the use of proprietary risk-based pricing models became widespread in the mortgage insurance industry. As opposed to traditional rate card pricing, mortgage insurance premium rates in these risk-based plans are visible only to customers and cannot be seen by competitors. In addition, our customers use of technology solutions to deliver rate quotes from mortgage insurers has placed an additional emphasis on price, including emerging tools that provide the ability to automate the selection of a mortgage insurance provider based on price alone. These factors may result in mortgage insurance companies responding aggressively and cause further lowering of premiums. However, risk-based plans are designed to also allow mortgage insurers to price risk more effectively and provide the ability to manage the credit risk and geographic makeup of their NIW.</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 experience a similar reduction in returns on capital. Depending upon the degree to which we undertake or match such pricing practices or otherwise reduce our rates due to competition, there may be a material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5" w:name="page46"/>
    <w:bookmarkEnd w:id="45"/>
    <w:p>
      <w:pPr>
        <w:jc w:val="both"/>
        <w:ind w:firstLine="246"/>
        <w:spacing w:after="0" w:line="269" w:lineRule="auto"/>
        <w:rPr>
          <w:sz w:val="20"/>
          <w:szCs w:val="20"/>
          <w:color w:val="auto"/>
        </w:rPr>
      </w:pPr>
      <w:r>
        <w:rPr>
          <w:rFonts w:ascii="Arial" w:cs="Arial" w:eastAsia="Arial" w:hAnsi="Arial"/>
          <w:sz w:val="13"/>
          <w:szCs w:val="13"/>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 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90" w:lineRule="exact"/>
        <w:rPr>
          <w:sz w:val="20"/>
          <w:szCs w:val="20"/>
          <w:color w:val="auto"/>
        </w:rPr>
      </w:pPr>
    </w:p>
    <w:p>
      <w:pPr>
        <w:jc w:val="both"/>
        <w:ind w:hanging="7"/>
        <w:spacing w:after="0" w:line="272" w:lineRule="auto"/>
        <w:rPr>
          <w:sz w:val="20"/>
          <w:szCs w:val="20"/>
          <w:color w:val="auto"/>
        </w:rPr>
      </w:pPr>
      <w:r>
        <w:rPr>
          <w:rFonts w:ascii="Arial" w:cs="Arial" w:eastAsia="Arial" w:hAnsi="Arial"/>
          <w:sz w:val="14"/>
          <w:szCs w:val="14"/>
          <w:b w:val="1"/>
          <w:bCs w:val="1"/>
          <w:color w:val="auto"/>
        </w:rPr>
        <w:t>Changes to the charters or practices of the GSEs, including actions or decisions to decrease or discontinue the use of mortgage insurance, could adversely affect our business, results of operations and financial condition</w:t>
      </w:r>
      <w:r>
        <w:rPr>
          <w:rFonts w:ascii="Arial" w:cs="Arial" w:eastAsia="Arial" w:hAnsi="Arial"/>
          <w:sz w:val="12"/>
          <w:szCs w:val="12"/>
          <w:color w:val="auto"/>
        </w:rPr>
        <w:t>.</w:t>
      </w:r>
    </w:p>
    <w:p>
      <w:pPr>
        <w:spacing w:after="0" w:line="88" w:lineRule="exact"/>
        <w:rPr>
          <w:sz w:val="20"/>
          <w:szCs w:val="20"/>
          <w:color w:val="auto"/>
        </w:rPr>
      </w:pPr>
    </w:p>
    <w:p>
      <w:pPr>
        <w:jc w:val="both"/>
        <w:ind w:firstLine="246"/>
        <w:spacing w:after="0" w:line="253" w:lineRule="auto"/>
        <w:rPr>
          <w:sz w:val="20"/>
          <w:szCs w:val="20"/>
          <w:color w:val="auto"/>
        </w:rPr>
      </w:pPr>
      <w:r>
        <w:rPr>
          <w:rFonts w:ascii="Arial" w:cs="Arial" w:eastAsia="Arial" w:hAnsi="Arial"/>
          <w:sz w:val="14"/>
          <w:szCs w:val="14"/>
          <w:color w:val="auto"/>
        </w:rPr>
        <w:t>The requirements and practices of the GSEs impact the operating results and financial performance of GSE-approved mortgage insurers, including us</w:t>
      </w:r>
      <w:r>
        <w:rPr>
          <w:rFonts w:ascii="Arial" w:cs="Arial" w:eastAsia="Arial" w:hAnsi="Arial"/>
          <w:sz w:val="14"/>
          <w:szCs w:val="14"/>
          <w:i w:val="1"/>
          <w:iCs w:val="1"/>
          <w:color w:val="auto"/>
        </w:rPr>
        <w:t>.</w:t>
      </w:r>
      <w:r>
        <w:rPr>
          <w:rFonts w:ascii="Arial" w:cs="Arial" w:eastAsia="Arial" w:hAnsi="Arial"/>
          <w:sz w:val="14"/>
          <w:szCs w:val="14"/>
          <w:color w:val="auto"/>
        </w:rPr>
        <w:t xml:space="preserve"> Changes in the charters or business practices of either Fannie Mae or Freddie Mac could materially reduce the number of mortgages they purchase that are 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15"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22"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3"/>
          <w:szCs w:val="13"/>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w:t>
      </w:r>
    </w:p>
    <w:p>
      <w:pPr>
        <w:spacing w:after="0" w:line="1" w:lineRule="exact"/>
        <w:rPr>
          <w:sz w:val="20"/>
          <w:szCs w:val="20"/>
          <w:color w:val="auto"/>
        </w:rPr>
      </w:pPr>
    </w:p>
    <w:p>
      <w:pPr>
        <w:jc w:val="both"/>
        <w:ind w:firstLine="2"/>
        <w:spacing w:after="0" w:line="245" w:lineRule="auto"/>
        <w:tabs>
          <w:tab w:leader="none" w:pos="2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providing proper compensation to the United States government for any explicit or implicit support it provides to the GSEs. Additionally, on November 11, 2020, the then Director of the FHFA publicly stated his priority for exiting the GSEs from conservatorship. In conjunction with preparing to release the GSEs from conservatorship, on January 14, 2021, the FHFA and the Treasury Department agreed to amend the Preferred Stock Purchase Agreements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Under these PSPA amendments, the FHFA and the Treasury Department have agreed not to seek to terminate the GSEs from conservatorship unless, following the resolution of all litigation pending in connection with the conservatorship or the Treasury Department’s net worth sweep, the GSEs maintain a specified level of common equity tier 1 capital. While we do not expect that such restrictions will impact the GSEs’ origination volume or our mortgage insurance business, other modifications to the PSPAs or a consent order that may place continuing restrictions on the GSEs post conservatorship remain possible. Also on January 14, 2021, the Treasury Department released a Blueprint on Next Steps for GSE Reform that generally reiterated its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14"/>
          <w:szCs w:val="14"/>
          <w:color w:val="auto"/>
        </w:rPr>
        <w:t>to the goals in the Housing Reform Plan and to pursue additional reforms to facilitate an exit from conservatorship, including (i) building sufficient equity capital to facilitate the GSEs’ ability to operate through a severe downturn, (ii) determining the optimal GSE capital structure, (iii) setting a commitment fee for ongoing support post-conservatorship, (iv) establishing appropriate pricing oversight and (v) reducing the market concentration of the GSEs.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FHFA and the GSEs are focused on increasing the accessibility and affordability of homeownership, in particular for low- and moderate-income borrowers and underserved minority communities. Among other things, FHFA (i) directed the GSEs to submit Equitable Housing Plans by the end of 2021 to identify and address barriers to sustainable housing opportunities, including the GSEs' goals and action plans to advance equity in housing finance for the next three years; (ii) lifted the 50 bps adverse market fee applicable to most refinance loans; (iii) directed the GSEs to expand their streamlined refinance programs; and (iv) directed the GSEs to make permanent desktop appraisals by incorporating the practice into their Selling Guides, which originally was a temporary practice implemented in light of COVID-19. These changes, along with any new practices or programs subsequently implemented under the GSEs’ Equitable Housing Plans or other affordability initiatives, may impact the fees, underwriting and servicing standards on mortgage loans purchased by the GSEs, including as it may relate to our mortgage insurance policies on such mortgage loans.</w:t>
      </w:r>
    </w:p>
    <w:p>
      <w:pPr>
        <w:spacing w:after="0" w:line="122" w:lineRule="exact"/>
        <w:rPr>
          <w:sz w:val="20"/>
          <w:szCs w:val="20"/>
          <w:color w:val="auto"/>
        </w:rPr>
      </w:pPr>
    </w:p>
    <w:p>
      <w:pPr>
        <w:jc w:val="both"/>
        <w:ind w:firstLine="246"/>
        <w:spacing w:after="0" w:line="264" w:lineRule="auto"/>
        <w:rPr>
          <w:sz w:val="20"/>
          <w:szCs w:val="20"/>
          <w:color w:val="auto"/>
        </w:rPr>
      </w:pPr>
      <w:r>
        <w:rPr>
          <w:rFonts w:ascii="Arial" w:cs="Arial" w:eastAsia="Arial" w:hAnsi="Arial"/>
          <w:sz w:val="13"/>
          <w:szCs w:val="13"/>
          <w:color w:val="auto"/>
        </w:rPr>
        <w:t>As part of the process to potentially end the conservatorships of the GSEs, on December 17, 2020, the FHFA promulgated a final rule imposing a new capital framework on the GSEs, including risk-based and leverage capital requirements and capital buffers in excess of regulatory minimums that can be drawn down in periods of financial stress (the “Enterprise Capital Framework”).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prescribed capital conservation buffer amount (“PCCBA”) and a prescribed leverage buffer amount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mortgage insurance, which could adversely impact our business. Also in preparation for the end of the FHFA’s conservatorship of the GSEs, the FHFA promulgated a final rule on May 4, 2021, effective July 6, 2021, that requires the GSEs to develop plans that would facilitate their rapid and orderly resolution in the event FHFA is appointed as their receiver. Additionally, on June 23, 2021, the Supreme Court of the United States (the “Court”) issued a ruling on Collins vs. Yellen, which had challenged the FHFA’s single director structure and the Treasury Department’s net worth sweep under the PSPA. The Court held the FHFA did not exceed its statutory authority with respect to the Treasury Department’s net worth sweep under the PSPA. However, the Court determined that the FHFA’s single-director structure was unconstitutional and that the President can remove the director at-will. Subsequent to the issuance of the ruling, Mark Calabria, the former director of the FHFA, resigned and Sandra Thompson was appointed as acting director. The FHFA’s new leadership may result in a delay of the GSEs’ exit from conservatorship and in changes to the FHFA’s policies, including, but not limited to, (a) possible delays in the implementation of or the reworking of the Enterprise Capital Framework, (b) adjustments to the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7" w:name="page48"/>
    <w:bookmarkEnd w:id="47"/>
    <w:p>
      <w:pPr>
        <w:jc w:val="both"/>
        <w:spacing w:after="0" w:line="248" w:lineRule="auto"/>
        <w:rPr>
          <w:sz w:val="20"/>
          <w:szCs w:val="20"/>
          <w:color w:val="auto"/>
        </w:rPr>
      </w:pPr>
      <w:r>
        <w:rPr>
          <w:rFonts w:ascii="Arial" w:cs="Arial" w:eastAsia="Arial" w:hAnsi="Arial"/>
          <w:sz w:val="14"/>
          <w:szCs w:val="14"/>
          <w:color w:val="auto"/>
        </w:rPr>
        <w:t>loan-level pricing adjustments that could make private mortgage insurance less competitive or (c) revisions to the PSPAs, which could have a material adverse impact on our business, results of operations and financial condition.</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adoption of any GSE reform, whether through legislation or administrative action, could impact the current role of private mortgage insurance as credit enhancement, including its reduction or elimination,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recent years, the FHFA has set goals for the GSEs to transfer significant portions of the GSEs’ mortgage credit risk to the private sector; however, under the FHFA’s new leadership, the timing of these goals could change.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 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These programs were suspended in the third quarter of 2021, but to the extent these credit risk products evolve in a manner that displaces primary mortgage insurance coverage, the amount of insurance we write may be reduced. It is difficult to predict the impact of alternative CRT products that are developed to meet the goals established by the FHFA. In addition, the Enterprise Capital Framework that was promulgated on December 17,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are a variety of alternatives to private mortgage insurance that may reduce the amount of mortgage insurance we write. These alternatives include:</w:t>
      </w:r>
    </w:p>
    <w:p>
      <w:pPr>
        <w:spacing w:after="0" w:line="126" w:lineRule="exact"/>
        <w:rPr>
          <w:sz w:val="20"/>
          <w:szCs w:val="20"/>
          <w:color w:val="auto"/>
        </w:rPr>
      </w:pPr>
    </w:p>
    <w:p>
      <w:pPr>
        <w:ind w:left="500" w:hanging="252"/>
        <w:spacing w:after="0" w:line="248" w:lineRule="auto"/>
        <w:tabs>
          <w:tab w:leader="none" w:pos="497" w:val="left"/>
        </w:tabs>
        <w:numPr>
          <w:ilvl w:val="0"/>
          <w:numId w:val="21"/>
        </w:numPr>
        <w:rPr>
          <w:rFonts w:ascii="Arial" w:cs="Arial" w:eastAsia="Arial" w:hAnsi="Arial"/>
          <w:sz w:val="14"/>
          <w:szCs w:val="14"/>
          <w:color w:val="auto"/>
        </w:rPr>
      </w:pPr>
      <w:r>
        <w:rPr>
          <w:rFonts w:ascii="Arial" w:cs="Arial" w:eastAsia="Arial" w:hAnsi="Arial"/>
          <w:sz w:val="14"/>
          <w:szCs w:val="14"/>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using government mortgage insurance programs;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holding mortgages in the lenders’ own loan portfolios and self-insuring;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8" w:name="page49"/>
    <w:bookmarkEnd w:id="48"/>
    <w:p>
      <w:pPr>
        <w:ind w:left="500" w:hanging="25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using programs, such as those offered by Fannie Mae and Freddie Mac, requiring lower mortgage insurance coverage levels;</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22"/>
        </w:numPr>
        <w:rPr>
          <w:rFonts w:ascii="Arial" w:cs="Arial" w:eastAsia="Arial" w:hAnsi="Arial"/>
          <w:sz w:val="14"/>
          <w:szCs w:val="14"/>
          <w:color w:val="auto"/>
        </w:rPr>
      </w:pPr>
      <w:r>
        <w:rPr>
          <w:rFonts w:ascii="Arial" w:cs="Arial" w:eastAsia="Arial" w:hAnsi="Arial"/>
          <w:sz w:val="14"/>
          <w:szCs w:val="14"/>
          <w:color w:val="auto"/>
        </w:rPr>
        <w:t>originating and securitizing loans in MBS whose underlying mortgages are not insured with private mortgage insurance or which are structured so that the risk of default lies with the investor, rather than a private mortgage insurer; and</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using risk-sharing insurance programs, credit default swaps or similar instruments, instead of private mortgage insurance, to transfer credit risk on mortgages.</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Changes in the composition of our business or undue concentration by customer or geographic region may adversely affect us by increasing our exposure to loss of business or adverse performance of a small segment of our portfolio.</w:t>
      </w:r>
    </w:p>
    <w:p>
      <w:pPr>
        <w:spacing w:after="0" w:line="10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largest customer accounted for approximately 14% of our total NIW in 2021 and our top five customers generated approximately 28% of our NIW in 2021. Additionally, no customer had earned premiums that accounted for more than 10% of our total revenues for 2021. Changes in our ability to attract and retain a diverse customer base, and avoid undue concentration by geographic region or customer may adversely affect our business, results of operations and financial condition.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4"/>
          <w:szCs w:val="14"/>
          <w:i w:val="1"/>
          <w:iCs w:val="1"/>
          <w:color w:val="auto"/>
        </w:rPr>
        <w:t>.</w:t>
      </w:r>
      <w:r>
        <w:rPr>
          <w:rFonts w:ascii="Arial" w:cs="Arial" w:eastAsia="Arial" w:hAnsi="Arial"/>
          <w:sz w:val="14"/>
          <w:szCs w:val="14"/>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 lead to concentrations in specific regions in the United States. If we do not adequately maintain the geographic diversity of our portfolio, we could be exposed to greater losses.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Our customers place insurance with us directly on loans they originate and indirectly through purchases of loans that already have our mortgage insurance coverage. Our relationships with our customers may influence both the amount of business they do with us directly and their willingness to continue to approve us as a mortgage insurance provider for loans that they purchase. Maintaining our business relationships and business volumes with our largest lending customers remains critical to the success of our business.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49" w:name="page50"/>
    <w:bookmarkEnd w:id="49"/>
    <w:p>
      <w:pPr>
        <w:jc w:val="both"/>
        <w:spacing w:after="0" w:line="248" w:lineRule="auto"/>
        <w:rPr>
          <w:sz w:val="20"/>
          <w:szCs w:val="20"/>
          <w:color w:val="auto"/>
        </w:rPr>
      </w:pPr>
      <w:r>
        <w:rPr>
          <w:rFonts w:ascii="Arial" w:cs="Arial" w:eastAsia="Arial" w:hAnsi="Arial"/>
          <w:sz w:val="14"/>
          <w:szCs w:val="14"/>
          <w:color w:val="auto"/>
        </w:rPr>
        <w:t>ratings, mechanisms of credit enhancements or other factors, including our customers’ perceptions of the strength of our Parent and its other subsidiaries. See “—We could be affected by issues affecting our Parent in a way that could materially and adversely affect our business, financial condition, liquidity and prospects.”</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risk management programs may not be effective in identifying or adequate in controlling or mitigating the risks we face.</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 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 control our risks, we could suffer unexpected losses or be adversely affected,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0" w:name="page51"/>
    <w:bookmarkEnd w:id="50"/>
    <w:p>
      <w:pPr>
        <w:jc w:val="both"/>
        <w:ind w:firstLine="246"/>
        <w:spacing w:after="0" w:line="246" w:lineRule="auto"/>
        <w:rPr>
          <w:sz w:val="20"/>
          <w:szCs w:val="20"/>
          <w:color w:val="auto"/>
        </w:rPr>
      </w:pPr>
      <w:r>
        <w:rPr>
          <w:rFonts w:ascii="Arial" w:cs="Arial" w:eastAsia="Arial" w:hAnsi="Arial"/>
          <w:sz w:val="14"/>
          <w:szCs w:val="14"/>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 protect us against losses”.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extent of the benefits we realize from loss mitigation actions or programs in the future may be limited compared to years past.</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 in years prior to 2014, potentially resulting in higher losses than under our older master policies. In addition, our rescission rights and certain other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 The mortgage finance industry (with government support) has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1" w:name="page52"/>
    <w:bookmarkEnd w:id="51"/>
    <w:p>
      <w:pPr>
        <w:jc w:val="both"/>
        <w:spacing w:after="0" w:line="245" w:lineRule="auto"/>
        <w:rPr>
          <w:sz w:val="20"/>
          <w:szCs w:val="20"/>
          <w:color w:val="auto"/>
        </w:rPr>
      </w:pPr>
      <w:r>
        <w:rPr>
          <w:rFonts w:ascii="Arial" w:cs="Arial" w:eastAsia="Arial" w:hAnsi="Arial"/>
          <w:sz w:val="14"/>
          <w:szCs w:val="14"/>
          <w:color w:val="auto"/>
        </w:rPr>
        <w:t>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 actual volume of loan modifications will be or the ultimate re-default rate, and therefore, we cannot be certain whether these efforts will provide material benefits to us.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rates and changes in rates could materially adversely affect our business, results of operations and financial condition.</w:t>
      </w:r>
    </w:p>
    <w:p>
      <w:pPr>
        <w:spacing w:after="0" w:line="142"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Declining interest rates historically have increased the rate at which borrowers refinance their existing mortgages, thereby resulting in cancellations of the mortgage insurance covering existing loans. Declining interest rates have also contributed to home price appreciation, which may provide borrowers with the option of cancelling mortgage insurance coverage earlier than we anticipated when we priced that coverage. In addition, during 2020 and 2021, as a result of the low interest rate environment, our business experienced a decline in primary persistency rates. Lower primary persistency rates result in reduced IIF and earned premiums, which could have a significant adverse impact on our results of operations.</w:t>
      </w:r>
    </w:p>
    <w:p>
      <w:pPr>
        <w:spacing w:after="0" w:line="10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Rising interest rates generally reduce the volume of new mortgage originations and refinances. A decline in the volume of new or refinance mortgage originations would have an adverse effect on our NIW, which may in turn decrease our earned premiums. Rising interest rates also can increase the monthly mortgage payments for homeowners with insured loans that have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 Additionally, inflation accelerated in 2021 and may remain elevated in the near term reflecting higher demand from re-opening, expansionary monetary and fiscal policies, and supply chain disruptions. We currently believe the drivers of higher inflation to be transitory. However, if inflation were to persist further into 2022, it has the potential to raise interest rates and depress home sales due to rising affordability pressures from both higher rates and higher prices from continued supply chain disruption and lack of supply. In such a scenario, we would expect new business volume to decrease from both lower refinance and purchase activity. We believe that the impact to our new business volume would be offset by higher persistency on our existing insured loans since the prevailing market interest rate would rise above the loan interest rate. The exact outcome of these two offsetting trends is difficult to assess.</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“Item 7A. Quantitative and Qualitative Disclosures About Market Risk” for additional information about interest rate risk.</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0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may require incremental capital to support our growth and to meet regulatory or GSE capital requirements, to comply with rating agency criteria to maintain ratings, to repay our debt and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2" w:name="page53"/>
    <w:bookmarkEnd w:id="52"/>
    <w:p>
      <w:pPr>
        <w:jc w:val="both"/>
        <w:spacing w:after="0" w:line="246" w:lineRule="auto"/>
        <w:rPr>
          <w:sz w:val="20"/>
          <w:szCs w:val="20"/>
          <w:color w:val="auto"/>
        </w:rPr>
      </w:pPr>
      <w:r>
        <w:rPr>
          <w:rFonts w:ascii="Arial" w:cs="Arial" w:eastAsia="Arial" w:hAnsi="Arial"/>
          <w:sz w:val="14"/>
          <w:szCs w:val="14"/>
          <w:color w:val="auto"/>
        </w:rPr>
        <w:t>and meet unexpected cash flow obligations. If we need additional capital in the future, we may not be able to fund or raise the required capital as and when required and the amount of capital required may be higher than anticipated. Our inability to fund or raise the capital required in the anticipated timeframes and on the anticipated terms, could have a material adverse impact on our business, results of operations and financial condition, including causing us to reduce our business levels or be subject to a variety of regulatory actions.</w:t>
      </w:r>
    </w:p>
    <w:p>
      <w:pPr>
        <w:spacing w:after="0" w:line="120"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As of December 31, 2021, we met the PMIERs financial and operational requirements, based in part on our entry into a series of CRT transactions. As of December 31, 2021, we had estimated available assets of $5,077 million against $3,074 million net required assets under PMIERs compared to available assets of $4,588 million against $3,359 million net required assets as of December 31, 2020. The sufficiency ratio as of December 31, 2021 was 165% or $2,003 million above the published PMIERs requirements, compared to 137% or $1,229 million above the published PMIERs requirements as of December 31, 2020. For information with respect to higher PMIERs sufficiency ratios in future periods as a result of the GSE Restrictions, see “Item 1A. Risk Factors—Risks Relating to Our Business— 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 During 2020, the GSEs issued several amendments to PMIERs. The December 4, 2020 Amendment extended the application of reduced PMIERs capital factors to each non-performing loan that has an initial missed monthly payment occurring on or after March 1, 2020 and prior to April 1, 2021 and capital preservation period from March 31, 2021 to June 30, 2021. On June 30, 2021, the GSEs issued a revised and restated version of the PMIERs Amendment that replaced the version issued on December 4, 2020. The June 30, 2021 version allows loans that enter a forbearance plan due to a COVID-19 hardship on or after April 1, 2021 to remain eligible for extended application of the reduced PMIERs capital factor for as long as the loan remains in forbearance. The June 30, 2021 version also imposed temporary capital preservation provisions through December 31, 2021 that required an approved insurer to meet certain PMIERs minimum required asset buffers (150% in the third quarter of 2021 and 115% in the fourth quarter of 2021) or otherwise obtain prior written GSE approval before paying any dividends, pledging or transferring assets to an affiliate or entering into any new, or altering any existing, arrangements under tax sharing and intercompany expense-sharing agreements, even if such insurer had a surplus of available assets. See “Regulation—Agency Qualification Requirements.” In order to continue to provide a prudent level of financial flexibility in connection with the current PMIERs capital requirements, and given the dynamic nature of asset and liability valuations, requirement changes over time and recent conditions and restrictions imposed on us by the GSEs, we may be required to execute future capital transactions, including additional CRT transactions and other transactions with third parties to provide additional capital.</w:t>
      </w:r>
    </w:p>
    <w:p>
      <w:pPr>
        <w:spacing w:after="0" w:line="131"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3"/>
          <w:szCs w:val="13"/>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 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10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order to preserve certain tax benefits it obtains from consolidation, our Parent is expected to hold at least 80% of our common stock. Thus, our ability to raise additional capital by issuing stock to third parties will be limited. See “Risks Relating to Taxation—Our Parent is expected to retain at least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4"/>
          <w:szCs w:val="14"/>
          <w:color w:val="auto"/>
        </w:rPr>
        <w:t>ownership of our common stock to preserve the value of our Parent’s future expected tax losses, which will limit our ability to raise additional capital by issuing common stock to third parties.”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CRT transactions may not be available, affordable or adequate to protect us against losses.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COVID-19. For example, CRT transactions were more costly to obtain following the economic downturn caused by COVID-19. In particular, the market uncertainty caused by COVID-19 resulted in higher prices for our MILN and XOL reinsurance transactions. Accordingly, we incurred higher expenses associated with CRT transactions during 2020 and 2021 for a variety of reasons, including COVID-19 and we may be unable to obtain new transactions on acceptable terms, or at all in the future. Absent the availability and affordability to enter into new CRT transactions, our ability to obtain PMIERs or statutory credit for new transactions could be adversely impacted or could require us to make capital contributions to maintain regulatory capital requirements. See “—If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121" w:lineRule="exact"/>
        <w:rPr>
          <w:sz w:val="20"/>
          <w:szCs w:val="20"/>
          <w:color w:val="auto"/>
        </w:rPr>
      </w:pPr>
    </w:p>
    <w:p>
      <w:pPr>
        <w:jc w:val="both"/>
        <w:ind w:firstLine="246"/>
        <w:spacing w:after="0" w:line="269" w:lineRule="auto"/>
        <w:rPr>
          <w:sz w:val="20"/>
          <w:szCs w:val="20"/>
          <w:color w:val="auto"/>
        </w:rPr>
      </w:pPr>
      <w:r>
        <w:rPr>
          <w:rFonts w:ascii="Arial" w:cs="Arial" w:eastAsia="Arial" w:hAnsi="Arial"/>
          <w:sz w:val="13"/>
          <w:szCs w:val="13"/>
          <w:color w:val="auto"/>
        </w:rPr>
        <w:t>Additionally, 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Under PMIERs, the GSEs require maintenance of at least one rating with a rating agency acceptable to the respective GSEs. The current PMIERs do not include a specific ratings requirement with respect to eligibility, but if this were to change in the future, we may become subject to a ratings requirement in order to retain our eligibility status under PMIERs. Ratings downgrades that result in our inability to insure new mortgage loans sold to the GSEs, or the transfer by the GSEs of our existing policies to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mortgage insurer, would have a material adverse effect on our business, results of operations and financial condition.</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Despite recent credit upgrades following our IPO, we currently have financial strength ratings below our competitors. Any assigned financial strength rating that remains below our peers or a further downgrade in our financial strength ratings, or the announcement of a potential downgrade could hinder our competitiveness in the marketplace and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our 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“—We could be affected by issues affecting our Parent in a way that could materially and adversely affect our business, financial condition, liquidity and prospects.”</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Further, a rating is based on information furnished by us or obtained by the relevant rating agency from its own sources and is subject to revision, suspension or withdrawal by the rating agency at any time. Rating agencies may review the ratings assigned to us due to developments that are beyond our control and any anticipated positive changes in ratings, may never develop or be realized.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compete with government-owned enterprises and GSEs, and this may put us at a competitive disadvantage on pricing and other terms and conditions.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compete with the FHA and the United States Department of Veteran Affairs (the “VA”), as well as certain local-and state-level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 material adverse effect on our business, results of operations and financial condition. See “—Changes to the charters or practices of the GSEs, including actions or decisions to decrease or discontinue the use of mortgage insurance, could adversely affect our business, results of operations and financial condition.”</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10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highly-rated fixed income securities. If interest rates rise, the market value of our investment portfolio would decrease, which may adversely affect our business, results of operations,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condition and liquidity. See “—Interest rates and changes in rates could materially adversely affect our business, results of operations and financial condition.”</w:t>
      </w:r>
    </w:p>
    <w:p>
      <w:pPr>
        <w:spacing w:after="0" w:line="126" w:lineRule="exact"/>
        <w:rPr>
          <w:sz w:val="20"/>
          <w:szCs w:val="20"/>
          <w:color w:val="auto"/>
        </w:rPr>
      </w:pPr>
    </w:p>
    <w:p>
      <w:pPr>
        <w:jc w:val="both"/>
        <w:ind w:firstLine="246"/>
        <w:spacing w:after="0" w:line="266" w:lineRule="auto"/>
        <w:rPr>
          <w:sz w:val="20"/>
          <w:szCs w:val="20"/>
          <w:color w:val="auto"/>
        </w:rPr>
      </w:pPr>
      <w:r>
        <w:rPr>
          <w:rFonts w:ascii="Arial" w:cs="Arial" w:eastAsia="Arial" w:hAnsi="Arial"/>
          <w:sz w:val="13"/>
          <w:szCs w:val="13"/>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07"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servicers fail to adhere to appropriate servicing standards or experience disruptions to their businesses, our losses could increase.</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or having obtained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 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6" w:name="page57"/>
    <w:bookmarkEnd w:id="56"/>
    <w:p>
      <w:pPr>
        <w:jc w:val="both"/>
        <w:ind w:firstLine="246"/>
        <w:spacing w:after="0" w:line="246" w:lineRule="auto"/>
        <w:rPr>
          <w:sz w:val="20"/>
          <w:szCs w:val="20"/>
          <w:color w:val="auto"/>
        </w:rPr>
      </w:pPr>
      <w:r>
        <w:rPr>
          <w:rFonts w:ascii="Arial" w:cs="Arial" w:eastAsia="Arial" w:hAnsi="Arial"/>
          <w:sz w:val="14"/>
          <w:szCs w:val="14"/>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delegated underwriting program may subject our mortgage insurance business to unanticipated claims.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enter into agreements with our customers that commit us to insure loans made by them using our pre-established guidelines for delegated underwriting. Delegated underwriting represented 65% and 66% of our total NIW by loan count for the years ended December 31, 2021 and 2020,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 underwriting. See “Business—Underwriting.” Under this program, a customer could commit us to insure a material number of loans that would fail our pre-established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Potential liabilities in connection with our contract underwriting services could have a material adverse effect on our business, results of operations and financial condition.</w:t>
      </w:r>
    </w:p>
    <w:p>
      <w:pPr>
        <w:spacing w:after="0" w:line="15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 Freddie Mac, which independently analyze the data to determine if the proposed loan complies with their investor requirements.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i w:val="1"/>
          <w:iCs w:val="1"/>
          <w:color w:val="auto"/>
        </w:rPr>
        <w:t>The premiums we agree to charge for our mortgage insurance coverage may not adequately compensate us for the risks and costs associated with the coverage we provide.</w:t>
      </w:r>
    </w:p>
    <w:p>
      <w:pPr>
        <w:spacing w:after="0" w:line="154" w:lineRule="exact"/>
        <w:rPr>
          <w:sz w:val="20"/>
          <w:szCs w:val="20"/>
          <w:color w:val="auto"/>
        </w:rPr>
      </w:pPr>
    </w:p>
    <w:p>
      <w:pPr>
        <w:jc w:val="both"/>
        <w:ind w:firstLine="246"/>
        <w:spacing w:after="0" w:line="267" w:lineRule="auto"/>
        <w:rPr>
          <w:sz w:val="20"/>
          <w:szCs w:val="20"/>
          <w:color w:val="auto"/>
        </w:rPr>
      </w:pPr>
      <w:r>
        <w:rPr>
          <w:rFonts w:ascii="Arial" w:cs="Arial" w:eastAsia="Arial" w:hAnsi="Arial"/>
          <w:sz w:val="13"/>
          <w:szCs w:val="13"/>
          <w:color w:val="auto"/>
        </w:rPr>
        <w:t>We establish premium rates for the duration of a mortgage insurance certificate upon issuance, and we cannot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decrease in the volume of Low-Down Payment Loan originations or an increase in the volume of mortgage insurance cancellations could result in a decline in our revenue.</w:t>
      </w:r>
    </w:p>
    <w:p>
      <w:pPr>
        <w:spacing w:after="0" w:line="15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provide mortgage insurance primarily for Low-Down Payment Loans. Factors that could lead to a decrease in the volume of Low-Down Payment Loan originations include, but are not limited to:</w:t>
      </w:r>
    </w:p>
    <w:p>
      <w:pPr>
        <w:spacing w:after="0" w:line="119" w:lineRule="exact"/>
        <w:rPr>
          <w:sz w:val="20"/>
          <w:szCs w:val="20"/>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increase in home mortgage interest rates and further limitations on the deductibility of local property taxes for federal income tax purposes;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implementation of more rigorous mortgage lending regulation, such as under the Dodd-Frank Act;</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decline in economic conditions generally, or in conditions in regional and local economies;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events outside of our control, including natural and man-made disasters and pandemics such as COVID-19, adversely affecting housing markets and home buying;</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level of consumer confidence, which may be adversely affected by economic instability, war or terrorist events;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increase in the price of homes relative to income levels;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lack of housing supply at lower home prices;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adverse population trends, including lower homeownership rates;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high rates of home price appreciation, which for refinancings affect whether refinanced loans have LTV ratios that require mortgage insurance;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government housing policy encouraging loans to FTHBs.</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addition, a significant percentage of the premiums we earn each year are renewal premiums from mortgage insurance coverage written in previous years. We estimate that approximately 84% of our gross premiums earned for the year ended December 31, 2021 were renewal premiums compared to approximately 85% and 88% for the years ended December 31, 2020 and 2019, respectively. As a result, the length of time insurance remains in-force is an important determinant of our mortgage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58" w:name="page59"/>
    <w:bookmarkEnd w:id="58"/>
    <w:p>
      <w:pPr>
        <w:jc w:val="both"/>
        <w:spacing w:after="0" w:line="245" w:lineRule="auto"/>
        <w:rPr>
          <w:sz w:val="20"/>
          <w:szCs w:val="20"/>
          <w:color w:val="auto"/>
        </w:rPr>
      </w:pPr>
      <w:r>
        <w:rPr>
          <w:rFonts w:ascii="Arial" w:cs="Arial" w:eastAsia="Arial" w:hAnsi="Arial"/>
          <w:sz w:val="14"/>
          <w:szCs w:val="14"/>
          <w:color w:val="auto"/>
        </w:rPr>
        <w:t>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the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122" w:lineRule="exact"/>
        <w:rPr>
          <w:sz w:val="20"/>
          <w:szCs w:val="20"/>
          <w:color w:val="auto"/>
        </w:rPr>
      </w:pPr>
    </w:p>
    <w:p>
      <w:pPr>
        <w:ind w:left="500" w:hanging="252"/>
        <w:spacing w:after="0" w:line="248" w:lineRule="auto"/>
        <w:tabs>
          <w:tab w:leader="none" w:pos="4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declining interest rates, which may result in the refinancing of the mortgages underlying our mortgage insurance coverage with new mortgage loans that may not require mortgage insurance or that we do not insure;</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customer concentration levels with certain customers that actively market refinancing opportunities to their existing borrowers;</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mortgage insurance cancellation requirements or procedures of the GSEs or under applicable law.</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Changes in the methodology by which servicers determine the cancellation dates of mortgage insurance under the Homeowners Protection Act, GSE requirements or otherwise, including as a result of changes in law or regulation, GSE rules or guidance, including changes in response to the COVID-19 pandemic or homeowner affordability initiatives, or for any other reason, could have a material adverse effect on our business, results of operations and financial condition.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persistency rates on primary mortgage insurance were 62%, 59% and 76% for the years ended December 31, 2021, 2020 and 2019, respectively. The decrease in our persistency rate since 2019 has been largely as a result of the low interest rate environment precipitated by the economic impacts of the COVID-19 pandemic. A decrease in persistency generally would reduce the amount of our IIF and could 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 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14"/>
          <w:szCs w:val="14"/>
          <w:color w:val="auto"/>
        </w:rPr>
        <w:t>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Historically, we have not been subject to the same financial, reporting and other corporate governance requirements as public companies. We are now required to prepare and file annual, quarterly and other reports with the SEC, including financial statements that comply with the SEC’s detailed reporting requirements. We are also subject to other reporting and corporate governance requirements under the listing standards of Nasdaq and the Sarbanes-Oxley Act, which will impose significant compliance costs and obligations upon us. The changes necessitated by our becoming a public company will continue to require a significant commitment of additional resources and management oversight, which may increase our operating costs. These changes will also place significant additional demands on our finance and accounting staff, who may not have experience working for a public company, and on our financial accounting and information systems. We have and may continue to hire additional accounting and financial staff with appropriate public company reporting experience and technical accounting knowledge. We have and may continue to incur other expenses associated with being a public company, including, but not limited to, increases in auditing, accounting and legal fees and expenses, investor relations expenses, directors’ fees and director and officer liability insurance costs, registrar and transfer agent fees and listing fees. As a public company, we are required, among other things, to:</w:t>
      </w:r>
    </w:p>
    <w:p>
      <w:pPr>
        <w:spacing w:after="0" w:line="121" w:lineRule="exact"/>
        <w:rPr>
          <w:sz w:val="20"/>
          <w:szCs w:val="20"/>
          <w:color w:val="auto"/>
        </w:rPr>
      </w:pPr>
    </w:p>
    <w:p>
      <w:pPr>
        <w:ind w:left="500" w:hanging="252"/>
        <w:spacing w:after="0" w:line="248" w:lineRule="auto"/>
        <w:tabs>
          <w:tab w:leader="none" w:pos="497"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prepare and file periodic reports, and distribute other stockholder communications, in compliance with the federal securities laws and the listing requirements and rules of the Nasdaq;</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define and expand the roles and the duties of our board of directors and its committees;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institute more comprehensive compliance, investor relations and internal audit functions; and</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25"/>
        </w:numPr>
        <w:rPr>
          <w:rFonts w:ascii="Arial" w:cs="Arial" w:eastAsia="Arial" w:hAnsi="Arial"/>
          <w:sz w:val="14"/>
          <w:szCs w:val="14"/>
          <w:color w:val="auto"/>
        </w:rPr>
      </w:pPr>
      <w:r>
        <w:rPr>
          <w:rFonts w:ascii="Arial" w:cs="Arial" w:eastAsia="Arial" w:hAnsi="Arial"/>
          <w:sz w:val="14"/>
          <w:szCs w:val="14"/>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Parent or certain of our Parent’s other subsidiaries have continued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these services will be sustained at the same levels or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0" w:name="page61"/>
    <w:bookmarkEnd w:id="60"/>
    <w:p>
      <w:pPr>
        <w:jc w:val="both"/>
        <w:spacing w:after="0" w:line="245" w:lineRule="auto"/>
        <w:rPr>
          <w:sz w:val="20"/>
          <w:szCs w:val="20"/>
          <w:color w:val="auto"/>
        </w:rPr>
      </w:pPr>
      <w:r>
        <w:rPr>
          <w:rFonts w:ascii="Arial" w:cs="Arial" w:eastAsia="Arial" w:hAnsi="Arial"/>
          <w:sz w:val="14"/>
          <w:szCs w:val="14"/>
          <w:color w:val="auto"/>
        </w:rPr>
        <w:t>would be able to replace such services in a timely manner or on comparable terms. Specific services provided under the Shared Services Agreement may be terminated by either party for convenience with at least one hundred eighty (180) days’ prior written notice to the other party.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our IPO, either of which could adversely affect our business, results of operations or financial condition. See “—Risks Relating to Our Continuing Relationship with Our Parent—The terms of our existing arrangements between our Parent and third parties under which we receive services as an affiliate of our Parent may be more favorable than we will be able to obtain from a third party on our own.”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Regulatory Matters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extensively regulated and changes in regulation may reduce our profitability and limit our growth.</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 Our Business—If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w:t>
      </w:r>
    </w:p>
    <w:p>
      <w:pPr>
        <w:spacing w:after="0" w:line="121"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State insurance regulatory authorities have broad administrative powers, which at times are coordinated and communicated across regulatory bodies. These administrative powers include, but are not limited to:</w:t>
      </w:r>
    </w:p>
    <w:p>
      <w:pPr>
        <w:spacing w:after="0" w:line="119" w:lineRule="exact"/>
        <w:rPr>
          <w:sz w:val="20"/>
          <w:szCs w:val="20"/>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licensing companies and agents to transact business;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regulating certain premium rates;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reviewing and approving policy forms;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regulating discrimination in pricing, coverage terms and unfair trade and claims practices, including payment of inducements;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establishing and revising statutory capital and reserve requirements and solvency standards;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evaluating enterprise risk to an insurance company;</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approving changes in control of insurance companies;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restricting the payment of dividends and other transactions between affiliates;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regulating the types, amounts and valuation of investments;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1" w:name="page62"/>
    <w:bookmarkEnd w:id="61"/>
    <w:p>
      <w:pPr>
        <w:ind w:left="500" w:hanging="25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restricting, pursuant to state monoline restrictions, the types of insurance products that may be offered.</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 Further, we could become subject to future legislation or regulatory requirements related to the COVID-19 pandemic or climate change.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Litigation and regulatory investigations or other actions are common in the insurance business and may result in financial losses, injunctions and harm to our reputation.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face the risk of litigation and regulatory investigations or other actions in the ordinary course of operating our business.</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 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 $109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 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addition, the increased use by the private mortgage insurance industry of risk-based pricing systems that establish premium rates based on more attributes than previously considered may result in increased state and/or federal scrutiny of premium rates. The increased use of algorithms, artificial intelligence and data and analytics in the mortgage insurance industry may also lead to additional regulatory scrutiny related to other matters such as discrimination in pricing and underwriting, data privacy and access to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2" w:name="page63"/>
    <w:bookmarkEnd w:id="62"/>
    <w:p>
      <w:pPr>
        <w:jc w:val="both"/>
        <w:ind w:firstLine="246"/>
        <w:spacing w:after="0" w:line="245" w:lineRule="auto"/>
        <w:rPr>
          <w:sz w:val="20"/>
          <w:szCs w:val="20"/>
          <w:color w:val="auto"/>
        </w:rPr>
      </w:pPr>
      <w:r>
        <w:rPr>
          <w:rFonts w:ascii="Arial" w:cs="Arial" w:eastAsia="Arial" w:hAnsi="Arial"/>
          <w:sz w:val="14"/>
          <w:szCs w:val="14"/>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adverse change in our regulatory requirements could have a material adverse impact on our business, results of operations and financial condition.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are required by certain states and other regulators to maintain certain RTC ratios. In addition,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 and “—Inability to maintain sufficient regulatory capital could result in restrictions or prohibitions on our doing business or impact our financial strength ratings which could have a material adverse impact on our business, results of operations and financial condition.”</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3" w:name="page64"/>
    <w:bookmarkEnd w:id="63"/>
    <w:p>
      <w:pPr>
        <w:jc w:val="both"/>
        <w:spacing w:after="0" w:line="272" w:lineRule="auto"/>
        <w:rPr>
          <w:sz w:val="20"/>
          <w:szCs w:val="20"/>
          <w:color w:val="auto"/>
        </w:rPr>
      </w:pPr>
      <w:r>
        <w:rPr>
          <w:rFonts w:ascii="Arial" w:cs="Arial" w:eastAsia="Arial" w:hAnsi="Arial"/>
          <w:sz w:val="14"/>
          <w:szCs w:val="14"/>
          <w:b w:val="1"/>
          <w:bCs w:val="1"/>
          <w:i w:val="1"/>
          <w:iCs w:val="1"/>
          <w:color w:val="auto"/>
        </w:rPr>
        <w:t>Inability to maintain sufficient regulatory capital could result in restrictions or prohibitions on our doing business or impact our financial strength ratings which could have a material adverse impact on our business, results of operations and financial condition.</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December 31, 2021 and December 31, 2020, our combined RTC ratio was approximately 12.2:1 and 12.1:1, respectively. Should we exceed required RTC levels in the future,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In late 2019 and early 2021, the MGIWG released exposure drafts of the revised MGI Model, including new proposed mortgage guaranty insurance capital requirements for mortgage insurers, and the mortgage guaranty supplemental filing, which currently remains under development. We cannot predict the outcome of this process, whether any state will adopt the amended MGI Model or any of its specific provisions, the effect changes, if any,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Further, 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 surplus amounts, statutory contingency reserve amounts, and the RTC ratio may increase or decrease depending on a variety of factors, most of which are outside of our control, including, but not limited to, the following:</w:t>
      </w:r>
    </w:p>
    <w:p>
      <w:pPr>
        <w:spacing w:after="0" w:line="120" w:lineRule="exact"/>
        <w:rPr>
          <w:sz w:val="20"/>
          <w:szCs w:val="20"/>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 of statutory income or losses generated by our insurance subsidiaries (which itself is sensitive to equity market and credit market conditions);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 of insurance we onboard;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 of additional capital our insurance subsidiaries must hold to support business growth;</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statutory accounting or reserve requirements applicable to our insurance subsidiaries;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access capital markets to provide reserve and surplus relief;</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equity market levels;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of certain fixed-income and equity securities in our investment portfolio;</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the credit ratings of investments held in our portfolio;</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of certain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64" w:name="page65"/>
    <w:bookmarkEnd w:id="64"/>
    <w:p>
      <w:pPr>
        <w:ind w:left="500" w:hanging="25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interest rates;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credit market volatility;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to the maximum permissible RTC ratio.</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10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including a potential 25 basis point reduction, can reduce the demand 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 Changes to the charters or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22"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Additionally, on December 17, 2020, the FHFA promulgated the Enterprise Capital Framework, which imposes a new capital framework on the GSEs, including risk-based and leverage capital requirement and capital buffers in excess of regulatory minimums that can be drawn down in periods of financial distress.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prescribed capital conservation buffer amount (“PCCBA”) and a prescribed leverage buffer amount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for mortgage insurance, which could adversely impact our business. Also in preparation for the end of the FHFA’s conservatorship of the GSEs, the FHFA promulgated a final rule on May 4, 2021, effective July 6, 2021, that requires the GSEs to develop plans that would facilitate their rapid and orderly resolution in the event FHFA is appointed as their receiver.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5" w:name="page66"/>
    <w:bookmarkEnd w:id="65"/>
    <w:p>
      <w:pPr>
        <w:jc w:val="both"/>
        <w:ind w:firstLine="246"/>
        <w:spacing w:after="0" w:line="245" w:lineRule="auto"/>
        <w:rPr>
          <w:sz w:val="20"/>
          <w:szCs w:val="20"/>
          <w:color w:val="auto"/>
        </w:rPr>
      </w:pPr>
      <w:r>
        <w:rPr>
          <w:rFonts w:ascii="Arial" w:cs="Arial" w:eastAsia="Arial" w:hAnsi="Arial"/>
          <w:sz w:val="14"/>
          <w:szCs w:val="14"/>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CFPB Final Rule</w:t>
      </w:r>
    </w:p>
    <w:p>
      <w:pPr>
        <w:spacing w:after="0" w:line="14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results could also be impacted if the Consumer Financial Protection Bureau’s final rule defining a QM results in a reduction of the size of the origination market or creates incentives to use government mortgage insurance program.</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 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 statutory presumption of eligibility of loans that satisfy the QM definition. The CFPB’s final rule defining what constitutes a QM (the “QM Rule”) provides that a QM loan exists if, among other factors:</w:t>
      </w:r>
    </w:p>
    <w:p>
      <w:pPr>
        <w:spacing w:after="0" w:line="122" w:lineRule="exact"/>
        <w:rPr>
          <w:sz w:val="20"/>
          <w:szCs w:val="20"/>
          <w:color w:val="auto"/>
        </w:rPr>
      </w:pPr>
    </w:p>
    <w:p>
      <w:pPr>
        <w:ind w:left="500" w:hanging="25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term of the loan is less than or equal to 30 years;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there are no negative amortization, interest only or balloon features;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lender properly documents the loan in accordance with the requirements;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“points and fees” do not exceed certain thresholds (generally 3% of the total loan amount);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DTI Ratio of the borrower does not exceed 43%.</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Dodd-Frank Act separately granted statutory authority to the United States Department of Housing and Urban Development Administration (“HUD”) (for FHA-insured loans), the VA (for VA-guaranteed loans) and certain other government agency insurance programs to develop their own definitions of a QM in consultation with the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6" w:name="page67"/>
    <w:bookmarkEnd w:id="66"/>
    <w:p>
      <w:pPr>
        <w:jc w:val="both"/>
        <w:ind w:firstLine="246"/>
        <w:spacing w:after="0" w:line="246" w:lineRule="auto"/>
        <w:rPr>
          <w:sz w:val="20"/>
          <w:szCs w:val="20"/>
          <w:color w:val="auto"/>
        </w:rPr>
      </w:pPr>
      <w:r>
        <w:rPr>
          <w:rFonts w:ascii="Arial" w:cs="Arial" w:eastAsia="Arial" w:hAnsi="Arial"/>
          <w:sz w:val="14"/>
          <w:szCs w:val="14"/>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December 29, 2020, the CFPB promulgated two final rules (i) one rule amending the QM Rule (the QM Rule, as amended, the “Amended QM Rule”) and (ii) one rule adding a “seasoning” approach to the QM “safe harbor” (the “Seasoned QM Final Rule”). The effective date of both rules was March 1, 2021, with a mandatory compliance date for the Amended QM Rule of July 1, 2021.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We believe that loans which previously qualified under the 43% DTI-based QM Rule definition and the QM Patch will continue to qualify under the new price-based (APOR) definition and therefore we expect little impact from the change.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Dodd-Frank Act Risk Retention</w:t>
      </w:r>
    </w:p>
    <w:p>
      <w:pPr>
        <w:spacing w:after="0" w:line="14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Dodd-Frank Act also requires an originator or issuer to retain a specified percentage of the credit risk exposure on securitized mortgages that do not meet the definition of a qualified residential mortgage (“QRM”).</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addition, if international banking standards set forth by the Basel Committee are implemented in the United States, without modification by the Federal Banking Agencies (as defined below), the rules could discourage the use of mortgage insurance in the United States.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Basel III</w:t>
      </w:r>
    </w:p>
    <w:p>
      <w:pPr>
        <w:spacing w:after="0" w:line="14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14"/>
          <w:szCs w:val="14"/>
          <w:color w:val="auto"/>
        </w:rPr>
        <w:t>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Continuing Relationship with Our Parent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Parent is able to exert significant influence over us and our corporate decisions.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Parent continues to beneficially own at least 80% of our common stock. As a result, our Parent controls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The interests of our Parent may not always coincide with our interests or the interests of our other stockholders. This concentration of ownership may also have the effect of delaying, preventing or deterring a change in control of us. Our Parent’s high ownership percentage risk may also impact our stock price as price volatility may be greater if the public float and trading volume of shares of our common stock are low.</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Also, our Parent may seek to cause us to take courses of action that, in its judgment, could enhance its investment in us, but which might involve risks to our other stockholders or adversely affect us or our other stockholders. We also have entered into a registration rights agreement with our Parent, which will give our Parent a right, subject to certain conditions, to require us to register the sale of our common stock beneficially owned by our Parent.</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So long as our Parent continues to beneficially own more than 50% of our outstanding common stock, our Parent will have certain rights, including the right to nominate the majority of our directors. Certain of these directors may also be officers or employees of our Parent or certain of our Parent’s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14"/>
          <w:szCs w:val="14"/>
          <w:color w:val="auto"/>
        </w:rPr>
        <w:t>subsidiaries. Because of their current or former positions with our Parent or certain of our Parent’s other subsidiaries, these directors, as well as a number of our officers, own substantial amounts of our Parent’s common stock and options to purchase our Parent’s common stock. Ownership interests of our directors or officers in our Parent’s common stock, or service of certain of our directors as officers of our Parent or certain of our Parent’s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22" w:lineRule="exact"/>
        <w:rPr>
          <w:sz w:val="20"/>
          <w:szCs w:val="20"/>
          <w:color w:val="auto"/>
        </w:rPr>
      </w:pPr>
    </w:p>
    <w:p>
      <w:pPr>
        <w:jc w:val="both"/>
        <w:ind w:firstLine="246"/>
        <w:spacing w:after="0" w:line="266" w:lineRule="auto"/>
        <w:rPr>
          <w:sz w:val="20"/>
          <w:szCs w:val="20"/>
          <w:color w:val="auto"/>
        </w:rPr>
      </w:pPr>
      <w:r>
        <w:rPr>
          <w:rFonts w:ascii="Arial" w:cs="Arial" w:eastAsia="Arial" w:hAnsi="Arial"/>
          <w:sz w:val="13"/>
          <w:szCs w:val="13"/>
          <w:color w:val="auto"/>
        </w:rPr>
        <w:t>In addition, we have entered into agreements with our Parent and its subsidiaries that provide a framework for our ongoing relationship, including a Master Agreement, a registration rights agreement, a Shared Services Agreement, an intellectual property cross license agreement and a transitional trademark license agreement. Disagreements regarding the rights and obligations of our Parent or certain of our Parent’s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the Shared Services Agreement could result in conflicts between us and our Parent or certain of our Parent’s other subsidiaries that increase our costs both for the processing of business and the potential remediation of disputes. Although we believe these agreements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terms of our arrangements with our Parent may be more favorable than we will be able to obtain from an unaffiliated third party.</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Parent or certain of our Parent’s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On August 4, 2021, we entered into the Shared Services Agreement with our Parent that provides us continued access to certain of these services. We negotiated these arrangements with our Parent or certain of our Parent’s other subsidiaries in the context of a parent-subsidiary relationship. We cannot assure you that these services will be sustained at the same levels or that we would be able to replace such services in a timely manner or on comparable terms.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Specific services provided under the Shared Services Agreement may be terminated by either party for convenience with at least one hundred eighty (180) days’ prior written notice to the other party.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the IPO, either of which could adversely affect our business, results of operations or financial condition. Other agreements with our Parent or certain of our Parent’s other subsidiaries also govern the relationship between us and our Parent or certain of our Parent’s other subsidiaries following the IPO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We could be affected by issues affecting our Parent in a way that could materially and adversely affect our business, financial condition, liquidity and prospects.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remain a part of our Parent’s family of businesses. Therefore, our customers, third-party service providers, credit providers and other persons may continue to associate us with our Parent’s reputation and services, as well as its capital base and financial strength. Our Parent has substantial leverage and depends on us as a source of liquidity.</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Parent continues to pursue its overall strategy with a focus on improving business performance, reducing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addressing its debt maturities and other near-term liabilities and financial obligations, reducing costs, stabilizing its United States life insurance businesses without additional capital contributions, overall capital and ratings), including as a result of:</w:t>
      </w:r>
    </w:p>
    <w:p>
      <w:pPr>
        <w:spacing w:after="0" w:line="122" w:lineRule="exact"/>
        <w:rPr>
          <w:sz w:val="20"/>
          <w:szCs w:val="20"/>
          <w:color w:val="auto"/>
        </w:rPr>
      </w:pPr>
    </w:p>
    <w:p>
      <w:pPr>
        <w:ind w:left="500" w:hanging="252"/>
        <w:spacing w:after="0" w:line="248" w:lineRule="auto"/>
        <w:tabs>
          <w:tab w:leader="none" w:pos="497"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inability to attract buyers for any businesses or other assets our Parent may seek to sell, or securities it may seek to issue, in each case, in a timely manner and on anticipated terms;</w:t>
      </w:r>
    </w:p>
    <w:p>
      <w:pPr>
        <w:spacing w:after="0" w:line="118"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inability to increase the capital needed in our Parent’s businesses in a timely manner and on anticipated terms, including through improved business performance, reinsurance or similar transactions, asset sales, debt issuances, securities offerings or otherwise, in each case as and when required;</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failure to obtain any required regulatory, stockholder, noteholder approvals and/or other third-party approvals or consents for such alternative strategic plans;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Parent’s challenges changing or being more costly or difficult to successfully address than currently anticipated or the benefits achieved being less than anticipated;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inability to achieve anticipated cost-savings in a timely manner;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tax or accounting charges.</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also rely on our Parent and/or certain of our Parent’s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 if our Parent or any of its affiliates, previously, or in the future, among other things, becomes subject to litigation or otherwise damages its reputation or business prospects. Any of these events could adversely affect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70" w:name="page71"/>
    <w:bookmarkEnd w:id="70"/>
    <w:p>
      <w:pPr>
        <w:jc w:val="both"/>
        <w:ind w:firstLine="246"/>
        <w:spacing w:after="0" w:line="268" w:lineRule="auto"/>
        <w:rPr>
          <w:sz w:val="20"/>
          <w:szCs w:val="20"/>
          <w:color w:val="auto"/>
        </w:rPr>
      </w:pPr>
      <w:r>
        <w:rPr>
          <w:rFonts w:ascii="Arial" w:cs="Arial" w:eastAsia="Arial" w:hAnsi="Arial"/>
          <w:sz w:val="13"/>
          <w:szCs w:val="13"/>
          <w:color w:val="auto"/>
        </w:rPr>
        <w:t>Our Parent as of December 31, 2021 had $1.2 billion of long term borrowings outstanding, excluding the amount held by EHI.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Taxation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could have a material adverse effect on our business, cash flows, results of operations or financial condition.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 operations and financial condition. There can be no assurance that changes in tax laws or regulations will not materially and/or adversely affect our effective tax rate, tax payments, results of operations and financial condition.</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There was no U.S. federal income tax-related legislation or administrative guidance issued in 2021 or 2020 that had a significant impact on our results of operations or financial condition. We will continue to monitor proposed tax legislation, particularly the proposed Build Back Better Act (“BBBA”) currently being considered by Congress. As currently drafted, we do not expect the BBBA to have a significant impact on our results of operations or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jointly and severally liable for any U.S. federal income taxes owed by the Genworth Consolidated Group for taxable periods in which we are a member of the group.</w:t>
      </w:r>
    </w:p>
    <w:p>
      <w:pPr>
        <w:spacing w:after="0" w:line="15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Tax Allocation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color w:val="auto"/>
        </w:rPr>
        <w:t>Our Parent’s continued ownership of at least 80% of our common stock may limit our ability to raise additional capital by issuing common stock to third parties.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are currently a member of the Genworth Consolidated Group. As a consequence, we will pay our Parent our share of the consolidated income tax liability when we have taxable income or receive benefit for losses we contribute and which are utilized to the Genworth Consolidated Group.</w:t>
      </w:r>
    </w:p>
    <w:p>
      <w:pPr>
        <w:spacing w:after="0" w:line="119" w:lineRule="exact"/>
        <w:rPr>
          <w:sz w:val="20"/>
          <w:szCs w:val="20"/>
          <w:color w:val="auto"/>
        </w:rPr>
      </w:pPr>
    </w:p>
    <w:p>
      <w:pPr>
        <w:jc w:val="both"/>
        <w:ind w:firstLine="246"/>
        <w:spacing w:after="0" w:line="269" w:lineRule="auto"/>
        <w:rPr>
          <w:sz w:val="20"/>
          <w:szCs w:val="20"/>
          <w:color w:val="auto"/>
        </w:rPr>
      </w:pPr>
      <w:r>
        <w:rPr>
          <w:rFonts w:ascii="Arial" w:cs="Arial" w:eastAsia="Arial" w:hAnsi="Arial"/>
          <w:sz w:val="13"/>
          <w:szCs w:val="13"/>
          <w:color w:val="auto"/>
        </w:rPr>
        <w:t>Our Parent and certain of its non-insurance subsidiaries expect to incur material federal income tax deductions in the future, primarily related to interest expense on third-party debt and expenses in respect of stewardship with respect to the enterprise and subsidiary operations. If we were to cease to be a member of the Genworth Consolidated Group, our income could no longer offset tax losses of other members of the Genworth Consolidated Group, and the Genworth Consolidated Group may not have sufficient taxable income from other operations to fully absorb the anticipated tax deductions of our Parent and its non-insurance subsidiaries, reducing the value of such tax deductions to our Parent. Given that our Parent expects to incur federal income tax deductions for the foreseeable future, our Parent may find it beneficial to retain at least 80% ownership of our common stock for the foreseeable future.</w:t>
      </w:r>
    </w:p>
    <w:p>
      <w:pPr>
        <w:spacing w:after="0" w:line="10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a condition to us remaining a member of the Genworth Consolidated Group, our Parent generally must continue to own an amount of our stock which possesses at least 80% of the total voting power of our stock and has a value equal to at least 80% of the total value of our stock. For these purposes, the term “stock” does not include any stock that (i) is not entitled to vote; (ii) is limited and preferred as to dividends and does not participate in corporate growth to any significant extent; (iii) has redemption and liquidation rights which do not exceed the issue price of such stock (except for a reasonable redemption or liquidation premium) and (iv) is not convertible into another class of stock. Accordingly, while we will have the ability to raise additional capital through certain preferred stock or other means, we will be limited in our ability to raise additional capital by issuing common stock to third parties without leaving our Parent’s consolidated group, which our Parent may not permit. We may also be limited pursuant to restrictions imposed by insurance regulators, GSEs and any limitations under intercompany agreements. This limitation on our ability to raise additional capital through the issuance of common stock could have a material adverse impact on our business, results of operations and financial condition.</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If we leave the Genworth Consolidated Group, we may be required to make payments under the Tax Allocation Agreement and may be required to pay more income tax in the future.</w:t>
      </w:r>
    </w:p>
    <w:p>
      <w:pPr>
        <w:spacing w:after="0" w:line="10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are currently a member of the Genworth Consolidated Group, and we expect to continue to be a member as long as our Parent continues to own an amount of our stock which possesses at least 80% of the total voting power of our stock, and it has a value equal to at least 80% of the total value of our stock. See “—Our Parent’s continued ownership of 80% of our common stock may limit our ability to raise additional capital by issuing common stock to third parties”. Our Parent may cease to own such amount of stock in the future and in that event, we would cease to be a member of the Genworth Consolidated Group.</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the event we were to cease being a member of the Genworth Consolidated Group, we may be required to make a payment to our Parent of $25.2 million for tax benefits related to foreign tax credits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 In addition, the tax consequences of any transaction between us and other members of the Genworth Consolidated Group which were deferred under the consolidated return rules would likely be triggered, which could require us to make additional payments under the Tax Allocation Agreement.</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addition, in the event we were to cease being a member of the Genworth Consolidated Group, we and our Parent would be subject to the application of the “unified loss rules”, which may require us to pay more income tax in the future. Subject to certain exceptions, if our Parent has higher tax basis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14"/>
          <w:szCs w:val="14"/>
          <w:color w:val="auto"/>
        </w:rPr>
        <w:t>shares than the fair market value of our shares at the time we left the Genworth Consolidated Group, these rules could require us to reduce certain of our tax attributes, including the tax basis in our assets. If such reduction occurred, we could be required to pay more income tax in the future. Our Parent could, at such time, elect to reduce its tax basis in our shares at such time to prevent such attribute reduction, although our Parent has not committed to do so.</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At this time, we do not expect that the unified loss rules would cause a material reduction in the tax basis of our assets if we were to depart the Genworth Consolidated Group. The application of the unified loss rules are complex, however, and will depend upon a number of factual determinations that must be made at the time of such departure. Accordingly, no guarantee can be given that we would not be required to pay more income tax as a result of the application of the unified loss rules upon a deconsolidation. Such increased tax obligations could have a material adverse impact on our business,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 expenses and interest and principal on current and any future borrowings. Our subsidiaries may not be able to, or may not be permitted by regulators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or distributions to us to meet our obligations, we may be required to raise cash through, among other things, incurring debt (including convertible or exchangeable debt), selling assets or issuing equity.</w:t>
      </w:r>
    </w:p>
    <w:p>
      <w:pPr>
        <w:spacing w:after="0" w:line="122"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The payment of dividends and other distributions by our insurance subsidiaries is dependent on, among other things, their financial condition and operating performance, capital preservation as a result of the uncertainty regarding the impact of COVID-19, corporate law restrictions, insurance laws and regulations and maintaining adequate capital to meet the requirements mandated by PMIERs, including recent restrictions imposed by the GSEs on our business. In general, dividends in excess of prescribed limits are deemed “extraordinary” and require affirmative approval from an insurer’s domiciliary department of insurance. In addition, insurance regulators and GSEs may prohibit the payment of ordinary dividends and distributions, or other payments by the insurance subsidiaries (such as a payment under an agreement or for employee or other services, including expense reimbursements)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Accordingly, there can be no assurances that insurance regulators will approve payment of a dividend or distribution or other transfers of assets to us by our insurance subsidiaries. More recently, the GSEs temporarily amended PMIERs as a result of COVID-19, requiring our approved insurer, GMICO, to obtain the GSEs’ prior written consent before paying any dividends, pledging or transferring assets to an affiliate or entering into any new, or altering any existing, arrangements under tax sharing and intercompany expense-sharing arrangements should GMICO fail to meet certain PMIERs minimum required asset buffers (150% in the third quarter of 2021 and 115% in the fourth quarter of 2021). See “—Risks Relating to Our Business—If we are unable to continue to meet the requirements mandated by PMIERs, the GSE Restrictions and any additional restrictions imposed on us by the GSEs, we may not be eligible to write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new insurance on loans acquired by the GSEs, which would have a material adverse effect on our business, results of operations and financial condition.”</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liquidity and capital position are highly dependent on the performance of our subsidiaries and their ability to pay future dividends and distributions to us as anticipated. The evaluation of future dividend sources and our overall liquidity plans are subject to current and future market conditions and the economic recovery from COVID-19, among other factors, which are subject to change.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could be adversely impacted from deficiencies in our disclosure controls and procedures or internal control over financial reporting.</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design and effectiveness of our disclosure controls and procedures and internal control over financial reporting may not prevent all errors, misstatements or misrepresentations, particularly given our current remote work environment and the increased risk that our employees may be unable to properly perform and execute controls.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or restatements in our historical financial statements or untimely filings, which could cause investors to lose confidence in our reported financial information, and a decline in our share price.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suffer losses in connection with future litigation and regulatory proceedings or other actions.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From time to time, we may become subject to various legal and regulatory proceedings related to our business. Litigation and regulatory proceedings may result in financial losses and harm our reputation. 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which could have a material adverse effect on our business, financial condition or results of operations.</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financial statements are subject to the application of U.S.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we may be unable to implement new accounting guidance or other proposals by the adoption date which would materially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4" w:name="page75"/>
    <w:bookmarkEnd w:id="74"/>
    <w:p>
      <w:pPr>
        <w:jc w:val="both"/>
        <w:spacing w:after="0" w:line="248" w:lineRule="auto"/>
        <w:rPr>
          <w:sz w:val="20"/>
          <w:szCs w:val="20"/>
          <w:color w:val="auto"/>
        </w:rPr>
      </w:pPr>
      <w:r>
        <w:rPr>
          <w:rFonts w:ascii="Arial" w:cs="Arial" w:eastAsia="Arial" w:hAnsi="Arial"/>
          <w:sz w:val="14"/>
          <w:szCs w:val="14"/>
          <w:color w:val="auto"/>
        </w:rPr>
        <w:t>Furthermore, the required adoption of future accounting and reporting standards could require us to make significant changes to systems and use additional resources, which may result in significant costs.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 technology and other professionals. We also face natural or man-made disasters or pandemics that could at times impact our ability to on-board new hires. See “—The occurrence of natural or man-made disasters or public health emergencies, including pandemics and disasters caused or exacerbated by climate change, could materially adversely affect our business, results of operations and financial condition.” Furthermore, as the future of work evolves and work arrangements such as a remote work environment become more flexible and commonplace, our ability to compete for qualified employees could be further challenged. A remote work environment could expand competition among employers and may put us at a disadvantage if we are unable or unwilling to implement certain of these policies.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 compensation plans cannot guarantee that the services of these employees will continue to be available to us.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11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in the future vulnerable to system failures, physical or electronic intrusions, computer viruses or other attacks, programming errors and similar disruptive problems. The failure of these systems for any reason could cause significant interruptions to our operations, which could result in a material adverse effect on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3"/>
          <w:szCs w:val="13"/>
          <w:color w:val="auto"/>
        </w:rPr>
        <w:t>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0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addition, a natural or man-made disaster or a pandemic could disrupt public and private infrastructure, including our information technology systems. See “—The occurrence of natural or man-made disasters or public health emergencies, including pandemics and disasters caused or exacerbated by climate change, could materially adversely affect our business, results of operations and financial condition.” Unanticipated problems with, or failures of, our disaster recovery systems and business continuity plans could have a material adverse impact on our ability to conduct business and on our results of operations and financial condition. Furthermore, if a significant number of our employees were unavailable in the event of a disaster or a pandemic, our ability to effectively conduct business could be severely compromised. The failure of our disaster recovery systems and business continuity plans could adversely impact our profitability and our business.</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The occurrence of natural or man-made disasters or public health emergencies, including pandemics and disasters caused or exacerbated by climate change, could materially adversely affect our business, results of operations and financial condition.</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are exposed to various risks arising out of natural and man-made disasters and public health emergencies, including earthquakes, hurricanes, floods, wildfires, tornadoes, other extreme weather events, acts of terrorism, military actions and pandemics, similar to COVID-19. The frequency and severity of extreme weather events and natural disasters may be increased by the effects of climate change, which is resulting in an increase in average global temperatures and rising sea levels. While mortgage insurance does not cover property damage, a natural or man-made disaster or public health emergency, such as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public health emergency could trigger an economic downturn in the areas directly or indirectly affected by the disaster. While 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ongoing COVID-19 pandemic has and could continue to adversely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6" w:name="page77"/>
    <w:bookmarkEnd w:id="76"/>
    <w:p>
      <w:pPr>
        <w:jc w:val="both"/>
        <w:spacing w:after="0" w:line="246" w:lineRule="auto"/>
        <w:rPr>
          <w:sz w:val="20"/>
          <w:szCs w:val="20"/>
          <w:color w:val="auto"/>
        </w:rPr>
      </w:pPr>
      <w:r>
        <w:rPr>
          <w:rFonts w:ascii="Arial" w:cs="Arial" w:eastAsia="Arial" w:hAnsi="Arial"/>
          <w:sz w:val="14"/>
          <w:szCs w:val="14"/>
          <w:color w:val="auto"/>
        </w:rPr>
        <w:t>our business, results of operations and financial condition.” and “—A deterioration in economic conditions or a decline in home prices may adversely affect our loss experience.” A natural or man-made disaster or a pandemic/ public health emergency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Natural or man-made disasters or pandemics or public health emergencies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“—If we are unable to continue to meet the requirements mandated by PMIERs, the GSE Restrictions and any additional restrictions imposed on us by the GSEs, we may not be eligible to write new insurance on loans acquired by the GSEs, which would have a material adverse effect on our business, results of operations and financial condition.” An increase in delinquency notices resulting from a natural or man-made disaster or a pandemic/ public health emergency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105" w:lineRule="exact"/>
        <w:rPr>
          <w:sz w:val="20"/>
          <w:szCs w:val="20"/>
          <w:color w:val="auto"/>
        </w:rPr>
      </w:pPr>
    </w:p>
    <w:p>
      <w:pPr>
        <w:jc w:val="both"/>
        <w:ind w:firstLine="246"/>
        <w:spacing w:after="0" w:line="272" w:lineRule="auto"/>
        <w:rPr>
          <w:sz w:val="20"/>
          <w:szCs w:val="20"/>
          <w:color w:val="auto"/>
        </w:rPr>
      </w:pPr>
      <w:r>
        <w:rPr>
          <w:rFonts w:ascii="Arial" w:cs="Arial" w:eastAsia="Arial" w:hAnsi="Arial"/>
          <w:sz w:val="14"/>
          <w:szCs w:val="14"/>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0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amended and restated certificate of incorporation and bylaws include provisions that may have anti-takeover effects, such as prohibiting stockholders from calling special meetings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and, from and after such time as our Parent ceases to beneficially own more than 50% of our outstanding common stock, from acting by written consent.</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are a “controlled company” within the meaning of the Nasdaq rules and we qualify for exemptions from certain corporate governance requirements.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Parent beneficially owns over 80% of our outstanding common stock. GHI is our direct parent and is a wholly owned subsidiary of our Parent. Because our Parent controls more than a majority of the total voting power of our common stock following this offering, we are a “controlled company” within the meaning of the Nasdaq rules. Under these rules, a company of which more than 50% of the voting power is held by another person or group of persons acting together is a “controlled company” and may elect not to comply with certain stock exchange rules regarding corporate governance, including:</w:t>
      </w:r>
    </w:p>
    <w:p>
      <w:pPr>
        <w:spacing w:after="0" w:line="120" w:lineRule="exact"/>
        <w:rPr>
          <w:sz w:val="20"/>
          <w:szCs w:val="20"/>
          <w:color w:val="auto"/>
        </w:rPr>
      </w:pPr>
    </w:p>
    <w:p>
      <w:pPr>
        <w:ind w:left="480" w:hanging="232"/>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requirement that a majority of its board of directors consist of independent directors;</w:t>
      </w:r>
    </w:p>
    <w:p>
      <w:pPr>
        <w:spacing w:after="0" w:line="126" w:lineRule="exact"/>
        <w:rPr>
          <w:rFonts w:ascii="Arial" w:cs="Arial" w:eastAsia="Arial" w:hAnsi="Arial"/>
          <w:sz w:val="14"/>
          <w:szCs w:val="14"/>
          <w:color w:val="auto"/>
        </w:rPr>
      </w:pPr>
    </w:p>
    <w:p>
      <w:pPr>
        <w:jc w:val="both"/>
        <w:ind w:firstLine="248"/>
        <w:spacing w:after="0" w:line="246" w:lineRule="auto"/>
        <w:tabs>
          <w:tab w:leader="none" w:pos="483"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requirement that its director nominees be selected or recommended for the board’s selection by a majority of the board’s independent directors in a vote in which only independent directors participate or by a nominating committee comprised entirely of independent directors, in either case, with a formal written charter or board resolutions, as applicable, addressing the nominations process and such related matters as may be required under the federal securities laws; and</w:t>
      </w:r>
    </w:p>
    <w:p>
      <w:pPr>
        <w:spacing w:after="0" w:line="120" w:lineRule="exact"/>
        <w:rPr>
          <w:rFonts w:ascii="Arial" w:cs="Arial" w:eastAsia="Arial" w:hAnsi="Arial"/>
          <w:sz w:val="14"/>
          <w:szCs w:val="14"/>
          <w:color w:val="auto"/>
        </w:rPr>
      </w:pPr>
    </w:p>
    <w:p>
      <w:pPr>
        <w:ind w:left="480" w:hanging="232"/>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requirement that its compensation committee be comprised entirely of independent directors with a written charter addressing the committee’s purpose and responsibilities.</w:t>
      </w:r>
    </w:p>
    <w:p>
      <w:pPr>
        <w:spacing w:after="0" w:line="138"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do not rely on the exemptions to the requirements that a majority of our directors be independent and our nominating and corporate governance committee be comprised of entirely independent directors. Our board of directors consists of a majority of independent directors and our nominating and corporate governance committee is comprised of entirely independent directors. We, however, elected not to comply with the other requirement set forth above that the compensation committee be comprised entirely of independent directors. 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entered into with our Parent, our Parent has consent rights with respect to certain corporate and business activities that we may undertake, including during periods where Parent holds less than a majority of our common stock. Accordingly, you may not have the same protections afforded to stockholders of companies that are subject to all of the Nasdaq rules regarding corporate governance.</w:t>
      </w:r>
    </w:p>
    <w:p>
      <w:pPr>
        <w:spacing w:after="0" w:line="105" w:lineRule="exact"/>
        <w:rPr>
          <w:sz w:val="20"/>
          <w:szCs w:val="20"/>
          <w:color w:val="auto"/>
        </w:rPr>
      </w:pPr>
    </w:p>
    <w:p>
      <w:pPr>
        <w:jc w:val="both"/>
        <w:ind w:firstLine="246"/>
        <w:spacing w:after="0" w:line="272" w:lineRule="auto"/>
        <w:rPr>
          <w:sz w:val="20"/>
          <w:szCs w:val="20"/>
          <w:color w:val="auto"/>
        </w:rPr>
      </w:pPr>
      <w:r>
        <w:rPr>
          <w:rFonts w:ascii="Arial" w:cs="Arial" w:eastAsia="Arial" w:hAnsi="Arial"/>
          <w:sz w:val="14"/>
          <w:szCs w:val="14"/>
          <w:b w:val="1"/>
          <w:bCs w:val="1"/>
          <w:i w:val="1"/>
          <w:iCs w:val="1"/>
          <w:color w:val="auto"/>
        </w:rPr>
        <w:t>Our amended and restated certificate of incorporation contains exclusive forum provisions, which could limit our stockholders’ ability to choose the judicial forum for disputes with us or our directors, officers or employees.</w:t>
      </w:r>
    </w:p>
    <w:p>
      <w:pPr>
        <w:spacing w:after="0" w:line="10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Delaware General Corporation Law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8" w:name="page79"/>
    <w:bookmarkEnd w:id="78"/>
    <w:p>
      <w:pPr>
        <w:jc w:val="both"/>
        <w:spacing w:after="0" w:line="268" w:lineRule="auto"/>
        <w:rPr>
          <w:sz w:val="20"/>
          <w:szCs w:val="20"/>
          <w:color w:val="auto"/>
        </w:rPr>
      </w:pPr>
      <w:r>
        <w:rPr>
          <w:rFonts w:ascii="Arial" w:cs="Arial" w:eastAsia="Arial" w:hAnsi="Arial"/>
          <w:sz w:val="13"/>
          <w:szCs w:val="13"/>
          <w:color w:val="auto"/>
        </w:rPr>
        <w:t>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(the “Securities Act”). This exclusive forum provision does not preclude or contract the scope of exclusive federal or concurrent jurisdiction for any actions brought under the Securities Act. This exclusive forum provision does not apply to actions arising under the Exchange Act of 1934 (the “Exchange Act”). 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10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are currently leasing our headquarters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are not subject to any pending material legal proceedings.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79" w:name="page80"/>
    <w:bookmarkEnd w:id="79"/>
    <w:p>
      <w:pPr>
        <w:ind w:left="5400"/>
        <w:spacing w:after="0"/>
        <w:rPr>
          <w:sz w:val="20"/>
          <w:szCs w:val="20"/>
          <w:color w:val="auto"/>
        </w:rPr>
      </w:pPr>
      <w:r>
        <w:rPr>
          <w:rFonts w:ascii="Arial" w:cs="Arial" w:eastAsia="Arial" w:hAnsi="Arial"/>
          <w:sz w:val="14"/>
          <w:szCs w:val="14"/>
          <w:b w:val="1"/>
          <w:bCs w:val="1"/>
          <w:color w:val="auto"/>
        </w:rPr>
        <w:t>PART II</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Market for Common Stock</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common stock is listed on the Nasdaq Stock Market under the symbol “ACT.” As of February 22, 2022, we had 7 registered holders of record of our common stock.</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did not purchase any of our common stock during 2021.</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graph below compares the cumulative total stockholder return of an investment in (i) our common shares, (ii) the Russell 2000 Index, (iii) the S&amp;P 500 and (iv) a composite peer group consisting of Essent Group Ltd., MGIC Investment Corporation, NMI Holdings, Inc., Arch Capital Group Ltd and Radian Group Inc, for the period from September 16, 2021 (the date our common shares commenced trading on the Nasdaq Stock Market) through December 31, 2021. We selected the members of this peer group because each is a competitor of ours in the private mortgage insurance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76200</wp:posOffset>
            </wp:positionV>
            <wp:extent cx="3582670" cy="22796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82670" cy="227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40" w:type="dxa"/>
        <w:tblCellMar>
          <w:top w:w="0" w:type="dxa"/>
          <w:left w:w="0" w:type="dxa"/>
          <w:bottom w:w="0" w:type="dxa"/>
          <w:right w:w="0" w:type="dxa"/>
        </w:tblCellMar>
      </w:tblPr>
      <w:tr>
        <w:trPr>
          <w:trHeight w:val="180"/>
        </w:trPr>
        <w:tc>
          <w:tcPr>
            <w:tcW w:w="26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9/16/21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9/30/21</w:t>
            </w:r>
          </w:p>
        </w:tc>
        <w:tc>
          <w:tcPr>
            <w:tcW w:w="1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10/31/21</w:t>
            </w:r>
          </w:p>
        </w:tc>
        <w:tc>
          <w:tcPr>
            <w:tcW w:w="1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11/30/21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12/31/21</w:t>
            </w:r>
          </w:p>
        </w:tc>
      </w:tr>
      <w:tr>
        <w:trPr>
          <w:trHeight w:val="165"/>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Enact Holdings, Inc.</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$115.81</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$115.33</w:t>
            </w:r>
          </w:p>
        </w:tc>
      </w:tr>
      <w:tr>
        <w:trPr>
          <w:trHeight w:val="174"/>
        </w:trPr>
        <w:tc>
          <w:tcPr>
            <w:tcW w:w="2600" w:type="dxa"/>
            <w:vAlign w:val="bottom"/>
          </w:tcPr>
          <w:p>
            <w:pPr>
              <w:ind w:left="260"/>
              <w:spacing w:after="0"/>
              <w:rPr>
                <w:sz w:val="20"/>
                <w:szCs w:val="20"/>
                <w:color w:val="auto"/>
              </w:rPr>
            </w:pPr>
            <w:r>
              <w:rPr>
                <w:rFonts w:ascii="Arial" w:cs="Arial" w:eastAsia="Arial" w:hAnsi="Arial"/>
                <w:sz w:val="14"/>
                <w:szCs w:val="14"/>
                <w:color w:val="auto"/>
              </w:rPr>
              <w:t>Russell 2000</w:t>
            </w:r>
          </w:p>
        </w:tc>
        <w:tc>
          <w:tcPr>
            <w:tcW w:w="5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$98.72</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$102.88</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$98.48</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$100.56</w:t>
            </w:r>
          </w:p>
        </w:tc>
      </w:tr>
      <w:tr>
        <w:trPr>
          <w:trHeight w:val="175"/>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S&amp;P 500</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$96.28</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$102.94</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$102.08</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$106.54</w:t>
            </w:r>
          </w:p>
        </w:tc>
      </w:tr>
      <w:tr>
        <w:trPr>
          <w:trHeight w:val="173"/>
        </w:trPr>
        <w:tc>
          <w:tcPr>
            <w:tcW w:w="2600" w:type="dxa"/>
            <w:vAlign w:val="bottom"/>
          </w:tcPr>
          <w:p>
            <w:pPr>
              <w:ind w:left="260"/>
              <w:spacing w:after="0"/>
              <w:rPr>
                <w:sz w:val="20"/>
                <w:szCs w:val="20"/>
                <w:color w:val="auto"/>
              </w:rPr>
            </w:pPr>
            <w:r>
              <w:rPr>
                <w:rFonts w:ascii="Arial" w:cs="Arial" w:eastAsia="Arial" w:hAnsi="Arial"/>
                <w:sz w:val="14"/>
                <w:szCs w:val="14"/>
                <w:color w:val="auto"/>
              </w:rPr>
              <w:t>Peer Group</w:t>
            </w:r>
          </w:p>
        </w:tc>
        <w:tc>
          <w:tcPr>
            <w:tcW w:w="5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$100.55</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$108.37</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$94.85</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80" w:name="page81"/>
    <w:bookmarkEnd w:id="80"/>
    <w:p>
      <w:pPr>
        <w:ind w:left="240"/>
        <w:spacing w:after="0"/>
        <w:rPr>
          <w:sz w:val="20"/>
          <w:szCs w:val="20"/>
          <w:color w:val="auto"/>
        </w:rPr>
      </w:pPr>
      <w:r>
        <w:rPr>
          <w:rFonts w:ascii="Arial" w:cs="Arial" w:eastAsia="Arial" w:hAnsi="Arial"/>
          <w:sz w:val="14"/>
          <w:szCs w:val="14"/>
          <w:b w:val="1"/>
          <w:bCs w:val="1"/>
          <w:i w:val="1"/>
          <w:iCs w:val="1"/>
          <w:color w:val="auto"/>
        </w:rPr>
        <w:t>Dividends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On November 15, 2021, the Board of Directors of Enact Holdings, Inc. (the "Company") announced a special cash dividend of $200 million, or $1.23 per share, to the Company's stockholders, payable on December 15, 2021. While the Company does not currently maintain a formal dividend policy, we intend to develop one and initiate a regular common dividend during 2022. See “Item 7—Management’s Discussion and Analysis of Financial Condition and Results of Operations” for additional information on dividends.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42" w:lineRule="exact"/>
        <w:rPr>
          <w:sz w:val="20"/>
          <w:szCs w:val="20"/>
          <w:color w:val="auto"/>
        </w:rPr>
      </w:pPr>
    </w:p>
    <w:p>
      <w:pPr>
        <w:jc w:val="both"/>
        <w:ind w:firstLine="246"/>
        <w:spacing w:after="0" w:line="267" w:lineRule="auto"/>
        <w:rPr>
          <w:sz w:val="20"/>
          <w:szCs w:val="20"/>
          <w:color w:val="auto"/>
        </w:rPr>
      </w:pPr>
      <w:r>
        <w:rPr>
          <w:rFonts w:ascii="Arial" w:cs="Arial" w:eastAsia="Arial" w:hAnsi="Arial"/>
          <w:sz w:val="13"/>
          <w:szCs w:val="13"/>
          <w:color w:val="auto"/>
        </w:rPr>
        <w:t>The following discussion and analysis of our consolidated financial condition and results of operations should be read in conjunction with our audited consolidated financial statements and related notes for the years ended December 31, 2021, 2020 and 2019 included in Item 8 of this Annual Report. This discussion includes forward-looking statements and involves numerous risks, uncertainties and assumptions that could cause actual results to differ materially from management’s expectations, all of which may be exacerbated by COVID-19 and related developments. For factors that could cause such differences refer to the sections entitled “Cautionary Note Regarding Forward-Looking Statements” and “Item 1A.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EHI, the “Company,” “we” or “our” herein are, unless the context otherwise requires, to EHI on a consolidated basis.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of Business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stockholders.</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81" w:name="page82"/>
    <w:bookmarkEnd w:id="81"/>
    <w:p>
      <w:pPr>
        <w:jc w:val="both"/>
        <w:ind w:firstLine="246"/>
        <w:spacing w:after="0" w:line="246" w:lineRule="auto"/>
        <w:rPr>
          <w:sz w:val="20"/>
          <w:szCs w:val="20"/>
          <w:color w:val="auto"/>
        </w:rPr>
      </w:pPr>
      <w:r>
        <w:rPr>
          <w:rFonts w:ascii="Arial" w:cs="Arial" w:eastAsia="Arial" w:hAnsi="Arial"/>
          <w:sz w:val="14"/>
          <w:szCs w:val="14"/>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generate profits through collection of premiums less losses, operating expenses, interest expense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incurred-but-not-reported (“IBNR”) delinquencies. Our incurred losses are based on estimates of both the rate at which delinquencies will go to claim (i.e., claim rate)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Results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financial position and results of operations depend to a significant extent on the following factors, each of which may be affected by COVID-19 as noted below in “—Trends and Conditions.”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Mortgage Origination Volume</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Penetration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Credit and Regulatory Environment</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82" w:name="page83"/>
    <w:bookmarkEnd w:id="82"/>
    <w:p>
      <w:pPr>
        <w:jc w:val="both"/>
        <w:spacing w:after="0" w:line="248" w:lineRule="auto"/>
        <w:rPr>
          <w:sz w:val="20"/>
          <w:szCs w:val="20"/>
          <w:color w:val="auto"/>
        </w:rPr>
      </w:pPr>
      <w:r>
        <w:rPr>
          <w:rFonts w:ascii="Arial" w:cs="Arial" w:eastAsia="Arial" w:hAnsi="Arial"/>
          <w:sz w:val="14"/>
          <w:szCs w:val="14"/>
          <w:color w:val="auto"/>
        </w:rPr>
        <w:t>actions have included announced changes, or potential changes, to underwriting standards, FHA pricing, GSE guaranty fees and loan limits, as well as low-down payment programs available through the FHA or GSEs.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Competition and Market Share</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proprietary risk-based pricing engine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Seasonality</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and cures from period to period.</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following table presents our NIW, number of cures and new delinquencies for primary policies, excluding our run-off insurance block with reference properties in Mexico,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gridSpan w:val="2"/>
          </w:tcPr>
          <w:p>
            <w:pPr>
              <w:ind w:left="380"/>
              <w:spacing w:after="0"/>
              <w:rPr>
                <w:sz w:val="20"/>
                <w:szCs w:val="20"/>
                <w:color w:val="auto"/>
              </w:rPr>
            </w:pPr>
            <w:r>
              <w:rPr>
                <w:rFonts w:ascii="Arial" w:cs="Arial" w:eastAsia="Arial" w:hAnsi="Arial"/>
                <w:sz w:val="8"/>
                <w:szCs w:val="8"/>
                <w:b w:val="1"/>
                <w:bCs w:val="1"/>
                <w:color w:val="auto"/>
              </w:rPr>
              <w:t>Seasonality</w:t>
            </w:r>
          </w:p>
        </w:tc>
        <w:tc>
          <w:tcPr>
            <w:tcW w:w="9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2"/>
          </w:tcPr>
          <w:p>
            <w:pPr>
              <w:ind w:left="480"/>
              <w:spacing w:after="0"/>
              <w:rPr>
                <w:sz w:val="20"/>
                <w:szCs w:val="20"/>
                <w:color w:val="auto"/>
              </w:rPr>
            </w:pPr>
            <w:r>
              <w:rPr>
                <w:rFonts w:ascii="Arial" w:cs="Arial" w:eastAsia="Arial" w:hAnsi="Arial"/>
                <w:sz w:val="8"/>
                <w:szCs w:val="8"/>
                <w:b w:val="1"/>
                <w:bCs w:val="1"/>
                <w:color w:val="auto"/>
              </w:rPr>
              <w:t>Three months ended</w:t>
            </w: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60" w:type="dxa"/>
            <w:vAlign w:val="bottom"/>
            <w:vMerge w:val="restart"/>
          </w:tcPr>
          <w:p>
            <w:pPr>
              <w:ind w:left="20"/>
              <w:spacing w:after="0"/>
              <w:rPr>
                <w:sz w:val="20"/>
                <w:szCs w:val="20"/>
                <w:color w:val="auto"/>
              </w:rPr>
            </w:pPr>
            <w:r>
              <w:rPr>
                <w:rFonts w:ascii="Arial" w:cs="Arial" w:eastAsia="Arial" w:hAnsi="Arial"/>
                <w:sz w:val="8"/>
                <w:szCs w:val="8"/>
                <w:b w:val="1"/>
                <w:bCs w:val="1"/>
                <w:color w:val="auto"/>
              </w:rPr>
              <w:t>(Dollar amounts in Millions)</w:t>
            </w:r>
          </w:p>
        </w:tc>
        <w:tc>
          <w:tcPr>
            <w:tcW w:w="2660" w:type="dxa"/>
            <w:vAlign w:val="bottom"/>
          </w:tcPr>
          <w:p>
            <w:pPr>
              <w:spacing w:after="0"/>
              <w:rPr>
                <w:sz w:val="7"/>
                <w:szCs w:val="7"/>
                <w:color w:val="auto"/>
              </w:rPr>
            </w:pPr>
          </w:p>
        </w:tc>
        <w:tc>
          <w:tcPr>
            <w:tcW w:w="880" w:type="dxa"/>
            <w:vAlign w:val="bottom"/>
          </w:tcPr>
          <w:p>
            <w:pPr>
              <w:ind w:left="300"/>
              <w:spacing w:after="0" w:line="81" w:lineRule="exact"/>
              <w:rPr>
                <w:sz w:val="20"/>
                <w:szCs w:val="20"/>
                <w:color w:val="auto"/>
              </w:rPr>
            </w:pPr>
            <w:r>
              <w:rPr>
                <w:rFonts w:ascii="Arial" w:cs="Arial" w:eastAsia="Arial" w:hAnsi="Arial"/>
                <w:sz w:val="8"/>
                <w:szCs w:val="8"/>
                <w:b w:val="1"/>
                <w:bCs w:val="1"/>
                <w:color w:val="auto"/>
              </w:rPr>
              <w:t>Mar 31,</w:t>
            </w:r>
          </w:p>
        </w:tc>
        <w:tc>
          <w:tcPr>
            <w:tcW w:w="900" w:type="dxa"/>
            <w:vAlign w:val="bottom"/>
          </w:tcPr>
          <w:p>
            <w:pPr>
              <w:ind w:left="300"/>
              <w:spacing w:after="0" w:line="81" w:lineRule="exact"/>
              <w:rPr>
                <w:sz w:val="20"/>
                <w:szCs w:val="20"/>
                <w:color w:val="auto"/>
              </w:rPr>
            </w:pPr>
            <w:r>
              <w:rPr>
                <w:rFonts w:ascii="Arial" w:cs="Arial" w:eastAsia="Arial" w:hAnsi="Arial"/>
                <w:sz w:val="8"/>
                <w:szCs w:val="8"/>
                <w:b w:val="1"/>
                <w:bCs w:val="1"/>
                <w:color w:val="auto"/>
              </w:rPr>
              <w:t>Jun 30,</w:t>
            </w:r>
          </w:p>
        </w:tc>
        <w:tc>
          <w:tcPr>
            <w:tcW w:w="880" w:type="dxa"/>
            <w:vAlign w:val="bottom"/>
          </w:tcPr>
          <w:p>
            <w:pPr>
              <w:ind w:left="280"/>
              <w:spacing w:after="0" w:line="81" w:lineRule="exact"/>
              <w:rPr>
                <w:sz w:val="20"/>
                <w:szCs w:val="20"/>
                <w:color w:val="auto"/>
              </w:rPr>
            </w:pPr>
            <w:r>
              <w:rPr>
                <w:rFonts w:ascii="Arial" w:cs="Arial" w:eastAsia="Arial" w:hAnsi="Arial"/>
                <w:sz w:val="8"/>
                <w:szCs w:val="8"/>
                <w:b w:val="1"/>
                <w:bCs w:val="1"/>
                <w:color w:val="auto"/>
              </w:rPr>
              <w:t>Sep 30,</w:t>
            </w:r>
          </w:p>
        </w:tc>
        <w:tc>
          <w:tcPr>
            <w:tcW w:w="880" w:type="dxa"/>
            <w:vAlign w:val="bottom"/>
          </w:tcPr>
          <w:p>
            <w:pPr>
              <w:ind w:left="280"/>
              <w:spacing w:after="0" w:line="81" w:lineRule="exact"/>
              <w:rPr>
                <w:sz w:val="20"/>
                <w:szCs w:val="20"/>
                <w:color w:val="auto"/>
              </w:rPr>
            </w:pPr>
            <w:r>
              <w:rPr>
                <w:rFonts w:ascii="Arial" w:cs="Arial" w:eastAsia="Arial" w:hAnsi="Arial"/>
                <w:sz w:val="8"/>
                <w:szCs w:val="8"/>
                <w:b w:val="1"/>
                <w:bCs w:val="1"/>
                <w:color w:val="auto"/>
              </w:rPr>
              <w:t>Dec 31,</w:t>
            </w:r>
          </w:p>
        </w:tc>
        <w:tc>
          <w:tcPr>
            <w:tcW w:w="880" w:type="dxa"/>
            <w:vAlign w:val="bottom"/>
          </w:tcPr>
          <w:p>
            <w:pPr>
              <w:ind w:left="300"/>
              <w:spacing w:after="0" w:line="81" w:lineRule="exact"/>
              <w:rPr>
                <w:sz w:val="20"/>
                <w:szCs w:val="20"/>
                <w:color w:val="auto"/>
              </w:rPr>
            </w:pPr>
            <w:r>
              <w:rPr>
                <w:rFonts w:ascii="Arial" w:cs="Arial" w:eastAsia="Arial" w:hAnsi="Arial"/>
                <w:sz w:val="8"/>
                <w:szCs w:val="8"/>
                <w:b w:val="1"/>
                <w:bCs w:val="1"/>
                <w:color w:val="auto"/>
              </w:rPr>
              <w:t>Mar 31,</w:t>
            </w:r>
          </w:p>
        </w:tc>
        <w:tc>
          <w:tcPr>
            <w:tcW w:w="840" w:type="dxa"/>
            <w:vAlign w:val="bottom"/>
          </w:tcPr>
          <w:p>
            <w:pPr>
              <w:ind w:left="300"/>
              <w:spacing w:after="0" w:line="81" w:lineRule="exact"/>
              <w:rPr>
                <w:sz w:val="20"/>
                <w:szCs w:val="20"/>
                <w:color w:val="auto"/>
              </w:rPr>
            </w:pPr>
            <w:r>
              <w:rPr>
                <w:rFonts w:ascii="Arial" w:cs="Arial" w:eastAsia="Arial" w:hAnsi="Arial"/>
                <w:sz w:val="8"/>
                <w:szCs w:val="8"/>
                <w:b w:val="1"/>
                <w:bCs w:val="1"/>
                <w:color w:val="auto"/>
              </w:rPr>
              <w:t>Jun 30,</w:t>
            </w:r>
          </w:p>
        </w:tc>
        <w:tc>
          <w:tcPr>
            <w:tcW w:w="92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9"/>
              </w:rPr>
              <w:t>Sep.30, 2021</w:t>
            </w:r>
          </w:p>
        </w:tc>
        <w:tc>
          <w:tcPr>
            <w:tcW w:w="900" w:type="dxa"/>
            <w:vAlign w:val="bottom"/>
            <w:vMerge w:val="restart"/>
          </w:tcPr>
          <w:p>
            <w:pPr>
              <w:ind w:left="200"/>
              <w:spacing w:after="0"/>
              <w:rPr>
                <w:sz w:val="20"/>
                <w:szCs w:val="20"/>
                <w:color w:val="auto"/>
              </w:rPr>
            </w:pPr>
            <w:r>
              <w:rPr>
                <w:rFonts w:ascii="Arial" w:cs="Arial" w:eastAsia="Arial" w:hAnsi="Arial"/>
                <w:sz w:val="8"/>
                <w:szCs w:val="8"/>
                <w:b w:val="1"/>
                <w:bCs w:val="1"/>
                <w:color w:val="auto"/>
              </w:rPr>
              <w:t>Dec. 31, 2021</w:t>
            </w:r>
          </w:p>
        </w:tc>
        <w:tc>
          <w:tcPr>
            <w:tcW w:w="0" w:type="dxa"/>
            <w:vAlign w:val="bottom"/>
          </w:tcPr>
          <w:p>
            <w:pPr>
              <w:spacing w:after="0"/>
              <w:rPr>
                <w:sz w:val="1"/>
                <w:szCs w:val="1"/>
                <w:color w:val="auto"/>
              </w:rPr>
            </w:pPr>
          </w:p>
        </w:tc>
      </w:tr>
      <w:tr>
        <w:trPr>
          <w:trHeight w:val="116"/>
        </w:trPr>
        <w:tc>
          <w:tcPr>
            <w:tcW w:w="1460" w:type="dxa"/>
            <w:vAlign w:val="bottom"/>
            <w:tcBorders>
              <w:bottom w:val="single" w:sz="8" w:color="CCEEFF"/>
            </w:tcBorders>
            <w:vMerge w:val="continue"/>
          </w:tcPr>
          <w:p>
            <w:pPr>
              <w:spacing w:after="0"/>
              <w:rPr>
                <w:sz w:val="10"/>
                <w:szCs w:val="10"/>
                <w:color w:val="auto"/>
              </w:rPr>
            </w:pPr>
          </w:p>
        </w:tc>
        <w:tc>
          <w:tcPr>
            <w:tcW w:w="266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2021</w:t>
            </w:r>
          </w:p>
        </w:tc>
        <w:tc>
          <w:tcPr>
            <w:tcW w:w="9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60" w:type="dxa"/>
            <w:vAlign w:val="bottom"/>
            <w:shd w:val="clear" w:color="auto" w:fill="CCEEFF"/>
          </w:tcPr>
          <w:p>
            <w:pPr>
              <w:ind w:left="20"/>
              <w:spacing w:after="0"/>
              <w:rPr>
                <w:sz w:val="20"/>
                <w:szCs w:val="20"/>
                <w:color w:val="auto"/>
              </w:rPr>
            </w:pPr>
            <w:r>
              <w:rPr>
                <w:rFonts w:ascii="Arial" w:cs="Arial" w:eastAsia="Arial" w:hAnsi="Arial"/>
                <w:sz w:val="8"/>
                <w:szCs w:val="8"/>
                <w:color w:val="auto"/>
              </w:rPr>
              <w:t>NIW</w:t>
            </w:r>
          </w:p>
        </w:tc>
        <w:tc>
          <w:tcPr>
            <w:tcW w:w="3540" w:type="dxa"/>
            <w:vAlign w:val="bottom"/>
            <w:gridSpan w:val="2"/>
            <w:shd w:val="clear" w:color="auto" w:fill="CCEEFF"/>
          </w:tcPr>
          <w:p>
            <w:pPr>
              <w:jc w:val="center"/>
              <w:ind w:left="2639"/>
              <w:spacing w:after="0"/>
              <w:rPr>
                <w:sz w:val="20"/>
                <w:szCs w:val="20"/>
                <w:color w:val="auto"/>
              </w:rPr>
            </w:pPr>
            <w:r>
              <w:rPr>
                <w:rFonts w:ascii="Arial" w:cs="Arial" w:eastAsia="Arial" w:hAnsi="Arial"/>
                <w:sz w:val="8"/>
                <w:szCs w:val="8"/>
                <w:color w:val="auto"/>
              </w:rPr>
              <w:t>$17,908</w:t>
            </w: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$28,396</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$26,550</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$27,017</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$24,934</w:t>
            </w:r>
          </w:p>
        </w:tc>
        <w:tc>
          <w:tcPr>
            <w:tcW w:w="840" w:type="dxa"/>
            <w:vAlign w:val="bottom"/>
            <w:shd w:val="clear" w:color="auto" w:fill="CCEEFF"/>
          </w:tcPr>
          <w:p>
            <w:pPr>
              <w:jc w:val="center"/>
              <w:spacing w:after="0"/>
              <w:rPr>
                <w:sz w:val="20"/>
                <w:szCs w:val="20"/>
                <w:color w:val="auto"/>
              </w:rPr>
            </w:pPr>
            <w:r>
              <w:rPr>
                <w:rFonts w:ascii="Arial" w:cs="Arial" w:eastAsia="Arial" w:hAnsi="Arial"/>
                <w:sz w:val="8"/>
                <w:szCs w:val="8"/>
                <w:color w:val="auto"/>
              </w:rPr>
              <w:t>$26,657</w:t>
            </w:r>
          </w:p>
        </w:tc>
        <w:tc>
          <w:tcPr>
            <w:tcW w:w="920" w:type="dxa"/>
            <w:vAlign w:val="bottom"/>
            <w:shd w:val="clear" w:color="auto" w:fill="CCEEFF"/>
          </w:tcPr>
          <w:p>
            <w:pPr>
              <w:jc w:val="center"/>
              <w:spacing w:after="0"/>
              <w:rPr>
                <w:sz w:val="20"/>
                <w:szCs w:val="20"/>
                <w:color w:val="auto"/>
              </w:rPr>
            </w:pPr>
            <w:r>
              <w:rPr>
                <w:rFonts w:ascii="Arial" w:cs="Arial" w:eastAsia="Arial" w:hAnsi="Arial"/>
                <w:sz w:val="8"/>
                <w:szCs w:val="8"/>
                <w:color w:val="auto"/>
                <w:w w:val="96"/>
              </w:rPr>
              <w:t>$23,972</w:t>
            </w: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$21,441</w:t>
            </w:r>
          </w:p>
        </w:tc>
        <w:tc>
          <w:tcPr>
            <w:tcW w:w="0" w:type="dxa"/>
            <w:vAlign w:val="bottom"/>
          </w:tcPr>
          <w:p>
            <w:pPr>
              <w:spacing w:after="0"/>
              <w:rPr>
                <w:sz w:val="1"/>
                <w:szCs w:val="1"/>
                <w:color w:val="auto"/>
              </w:rPr>
            </w:pPr>
          </w:p>
        </w:tc>
      </w:tr>
      <w:tr>
        <w:trPr>
          <w:trHeight w:val="115"/>
        </w:trPr>
        <w:tc>
          <w:tcPr>
            <w:tcW w:w="1460" w:type="dxa"/>
            <w:vAlign w:val="bottom"/>
          </w:tcPr>
          <w:p>
            <w:pPr>
              <w:ind w:left="20"/>
              <w:spacing w:after="0"/>
              <w:rPr>
                <w:sz w:val="20"/>
                <w:szCs w:val="20"/>
                <w:color w:val="auto"/>
              </w:rPr>
            </w:pPr>
            <w:r>
              <w:rPr>
                <w:rFonts w:ascii="Arial" w:cs="Arial" w:eastAsia="Arial" w:hAnsi="Arial"/>
                <w:sz w:val="8"/>
                <w:szCs w:val="8"/>
                <w:color w:val="auto"/>
              </w:rPr>
              <w:t>% Change</w:t>
            </w:r>
          </w:p>
        </w:tc>
        <w:tc>
          <w:tcPr>
            <w:tcW w:w="3540" w:type="dxa"/>
            <w:vAlign w:val="bottom"/>
            <w:gridSpan w:val="2"/>
          </w:tcPr>
          <w:p>
            <w:pPr>
              <w:jc w:val="center"/>
              <w:ind w:left="2619"/>
              <w:spacing w:after="0"/>
              <w:rPr>
                <w:sz w:val="20"/>
                <w:szCs w:val="20"/>
                <w:color w:val="auto"/>
              </w:rPr>
            </w:pPr>
            <w:r>
              <w:rPr>
                <w:rFonts w:ascii="Arial" w:cs="Arial" w:eastAsia="Arial" w:hAnsi="Arial"/>
                <w:sz w:val="8"/>
                <w:szCs w:val="8"/>
                <w:color w:val="auto"/>
              </w:rPr>
              <w:t>(1.4)%</w:t>
            </w:r>
          </w:p>
        </w:tc>
        <w:tc>
          <w:tcPr>
            <w:tcW w:w="900" w:type="dxa"/>
            <w:vAlign w:val="bottom"/>
          </w:tcPr>
          <w:p>
            <w:pPr>
              <w:jc w:val="center"/>
              <w:spacing w:after="0"/>
              <w:rPr>
                <w:sz w:val="20"/>
                <w:szCs w:val="20"/>
                <w:color w:val="auto"/>
              </w:rPr>
            </w:pPr>
            <w:r>
              <w:rPr>
                <w:rFonts w:ascii="Arial" w:cs="Arial" w:eastAsia="Arial" w:hAnsi="Arial"/>
                <w:sz w:val="8"/>
                <w:szCs w:val="8"/>
                <w:color w:val="auto"/>
                <w:w w:val="96"/>
              </w:rPr>
              <w:t>58.6%</w:t>
            </w:r>
          </w:p>
        </w:tc>
        <w:tc>
          <w:tcPr>
            <w:tcW w:w="880" w:type="dxa"/>
            <w:vAlign w:val="bottom"/>
          </w:tcPr>
          <w:p>
            <w:pPr>
              <w:jc w:val="center"/>
              <w:spacing w:after="0"/>
              <w:rPr>
                <w:sz w:val="20"/>
                <w:szCs w:val="20"/>
                <w:color w:val="auto"/>
              </w:rPr>
            </w:pPr>
            <w:r>
              <w:rPr>
                <w:rFonts w:ascii="Arial" w:cs="Arial" w:eastAsia="Arial" w:hAnsi="Arial"/>
                <w:sz w:val="8"/>
                <w:szCs w:val="8"/>
                <w:color w:val="auto"/>
              </w:rPr>
              <w:t>(6.5)%</w:t>
            </w:r>
          </w:p>
        </w:tc>
        <w:tc>
          <w:tcPr>
            <w:tcW w:w="880" w:type="dxa"/>
            <w:vAlign w:val="bottom"/>
          </w:tcPr>
          <w:p>
            <w:pPr>
              <w:jc w:val="center"/>
              <w:spacing w:after="0"/>
              <w:rPr>
                <w:sz w:val="20"/>
                <w:szCs w:val="20"/>
                <w:color w:val="auto"/>
              </w:rPr>
            </w:pPr>
            <w:r>
              <w:rPr>
                <w:rFonts w:ascii="Arial" w:cs="Arial" w:eastAsia="Arial" w:hAnsi="Arial"/>
                <w:sz w:val="8"/>
                <w:szCs w:val="8"/>
                <w:color w:val="auto"/>
                <w:w w:val="98"/>
              </w:rPr>
              <w:t>1.8%</w:t>
            </w:r>
          </w:p>
        </w:tc>
        <w:tc>
          <w:tcPr>
            <w:tcW w:w="880" w:type="dxa"/>
            <w:vAlign w:val="bottom"/>
          </w:tcPr>
          <w:p>
            <w:pPr>
              <w:jc w:val="center"/>
              <w:spacing w:after="0"/>
              <w:rPr>
                <w:sz w:val="20"/>
                <w:szCs w:val="20"/>
                <w:color w:val="auto"/>
              </w:rPr>
            </w:pPr>
            <w:r>
              <w:rPr>
                <w:rFonts w:ascii="Arial" w:cs="Arial" w:eastAsia="Arial" w:hAnsi="Arial"/>
                <w:sz w:val="8"/>
                <w:szCs w:val="8"/>
                <w:color w:val="auto"/>
              </w:rPr>
              <w:t>(7.7)%</w:t>
            </w:r>
          </w:p>
        </w:tc>
        <w:tc>
          <w:tcPr>
            <w:tcW w:w="840" w:type="dxa"/>
            <w:vAlign w:val="bottom"/>
          </w:tcPr>
          <w:p>
            <w:pPr>
              <w:jc w:val="center"/>
              <w:spacing w:after="0"/>
              <w:rPr>
                <w:sz w:val="20"/>
                <w:szCs w:val="20"/>
                <w:color w:val="auto"/>
              </w:rPr>
            </w:pPr>
            <w:r>
              <w:rPr>
                <w:rFonts w:ascii="Arial" w:cs="Arial" w:eastAsia="Arial" w:hAnsi="Arial"/>
                <w:sz w:val="8"/>
                <w:szCs w:val="8"/>
                <w:color w:val="auto"/>
              </w:rPr>
              <w:t>6.9%</w:t>
            </w:r>
          </w:p>
        </w:tc>
        <w:tc>
          <w:tcPr>
            <w:tcW w:w="920" w:type="dxa"/>
            <w:vAlign w:val="bottom"/>
          </w:tcPr>
          <w:p>
            <w:pPr>
              <w:jc w:val="center"/>
              <w:spacing w:after="0"/>
              <w:rPr>
                <w:sz w:val="20"/>
                <w:szCs w:val="20"/>
                <w:color w:val="auto"/>
              </w:rPr>
            </w:pPr>
            <w:r>
              <w:rPr>
                <w:rFonts w:ascii="Arial" w:cs="Arial" w:eastAsia="Arial" w:hAnsi="Arial"/>
                <w:sz w:val="8"/>
                <w:szCs w:val="8"/>
                <w:color w:val="auto"/>
                <w:w w:val="99"/>
              </w:rPr>
              <w:t>(10.1)%</w:t>
            </w:r>
          </w:p>
        </w:tc>
        <w:tc>
          <w:tcPr>
            <w:tcW w:w="900" w:type="dxa"/>
            <w:vAlign w:val="bottom"/>
          </w:tcPr>
          <w:p>
            <w:pPr>
              <w:jc w:val="center"/>
              <w:spacing w:after="0"/>
              <w:rPr>
                <w:sz w:val="20"/>
                <w:szCs w:val="20"/>
                <w:color w:val="auto"/>
              </w:rPr>
            </w:pPr>
            <w:r>
              <w:rPr>
                <w:rFonts w:ascii="Arial" w:cs="Arial" w:eastAsia="Arial" w:hAnsi="Arial"/>
                <w:sz w:val="8"/>
                <w:szCs w:val="8"/>
                <w:color w:val="auto"/>
              </w:rPr>
              <w:t>(10.6)%</w:t>
            </w:r>
          </w:p>
        </w:tc>
        <w:tc>
          <w:tcPr>
            <w:tcW w:w="0" w:type="dxa"/>
            <w:vAlign w:val="bottom"/>
          </w:tcPr>
          <w:p>
            <w:pPr>
              <w:spacing w:after="0"/>
              <w:rPr>
                <w:sz w:val="1"/>
                <w:szCs w:val="1"/>
                <w:color w:val="auto"/>
              </w:rPr>
            </w:pPr>
          </w:p>
        </w:tc>
      </w:tr>
      <w:tr>
        <w:trPr>
          <w:trHeight w:val="132"/>
        </w:trPr>
        <w:tc>
          <w:tcPr>
            <w:tcW w:w="1460" w:type="dxa"/>
            <w:vAlign w:val="bottom"/>
            <w:shd w:val="clear" w:color="auto" w:fill="CCEEFF"/>
          </w:tcPr>
          <w:p>
            <w:pPr>
              <w:ind w:left="20"/>
              <w:spacing w:after="0"/>
              <w:rPr>
                <w:sz w:val="20"/>
                <w:szCs w:val="20"/>
                <w:color w:val="auto"/>
              </w:rPr>
            </w:pPr>
            <w:r>
              <w:rPr>
                <w:rFonts w:ascii="Arial" w:cs="Arial" w:eastAsia="Arial" w:hAnsi="Arial"/>
                <w:sz w:val="8"/>
                <w:szCs w:val="8"/>
                <w:color w:val="auto"/>
              </w:rPr>
              <w:t>Cure Counts</w:t>
            </w:r>
          </w:p>
        </w:tc>
        <w:tc>
          <w:tcPr>
            <w:tcW w:w="3540" w:type="dxa"/>
            <w:vAlign w:val="bottom"/>
            <w:gridSpan w:val="2"/>
            <w:shd w:val="clear" w:color="auto" w:fill="CCEEFF"/>
          </w:tcPr>
          <w:p>
            <w:pPr>
              <w:jc w:val="center"/>
              <w:ind w:left="2619"/>
              <w:spacing w:after="0"/>
              <w:rPr>
                <w:sz w:val="20"/>
                <w:szCs w:val="20"/>
                <w:color w:val="auto"/>
              </w:rPr>
            </w:pPr>
            <w:r>
              <w:rPr>
                <w:rFonts w:ascii="Arial" w:cs="Arial" w:eastAsia="Arial" w:hAnsi="Arial"/>
                <w:sz w:val="8"/>
                <w:szCs w:val="8"/>
                <w:color w:val="auto"/>
                <w:w w:val="99"/>
              </w:rPr>
              <w:t>8,649</w:t>
            </w: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9,795</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20,404</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16,548</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w w:val="97"/>
              </w:rPr>
              <w:t>13,478</w:t>
            </w:r>
          </w:p>
        </w:tc>
        <w:tc>
          <w:tcPr>
            <w:tcW w:w="840" w:type="dxa"/>
            <w:vAlign w:val="bottom"/>
            <w:shd w:val="clear" w:color="auto" w:fill="CCEEFF"/>
          </w:tcPr>
          <w:p>
            <w:pPr>
              <w:jc w:val="center"/>
              <w:spacing w:after="0"/>
              <w:rPr>
                <w:sz w:val="20"/>
                <w:szCs w:val="20"/>
                <w:color w:val="auto"/>
              </w:rPr>
            </w:pPr>
            <w:r>
              <w:rPr>
                <w:rFonts w:ascii="Arial" w:cs="Arial" w:eastAsia="Arial" w:hAnsi="Arial"/>
                <w:sz w:val="8"/>
                <w:szCs w:val="8"/>
                <w:color w:val="auto"/>
                <w:w w:val="97"/>
              </w:rPr>
              <w:t>14,473</w:t>
            </w:r>
          </w:p>
        </w:tc>
        <w:tc>
          <w:tcPr>
            <w:tcW w:w="920" w:type="dxa"/>
            <w:vAlign w:val="bottom"/>
            <w:shd w:val="clear" w:color="auto" w:fill="CCEEFF"/>
          </w:tcPr>
          <w:p>
            <w:pPr>
              <w:jc w:val="center"/>
              <w:spacing w:after="0"/>
              <w:rPr>
                <w:sz w:val="20"/>
                <w:szCs w:val="20"/>
                <w:color w:val="auto"/>
              </w:rPr>
            </w:pPr>
            <w:r>
              <w:rPr>
                <w:rFonts w:ascii="Arial" w:cs="Arial" w:eastAsia="Arial" w:hAnsi="Arial"/>
                <w:sz w:val="8"/>
                <w:szCs w:val="8"/>
                <w:color w:val="auto"/>
                <w:w w:val="97"/>
              </w:rPr>
              <w:t>11,746</w:t>
            </w: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11,929</w:t>
            </w:r>
          </w:p>
        </w:tc>
        <w:tc>
          <w:tcPr>
            <w:tcW w:w="0" w:type="dxa"/>
            <w:vAlign w:val="bottom"/>
          </w:tcPr>
          <w:p>
            <w:pPr>
              <w:spacing w:after="0"/>
              <w:rPr>
                <w:sz w:val="1"/>
                <w:szCs w:val="1"/>
                <w:color w:val="auto"/>
              </w:rPr>
            </w:pPr>
          </w:p>
        </w:tc>
      </w:tr>
      <w:tr>
        <w:trPr>
          <w:trHeight w:val="115"/>
        </w:trPr>
        <w:tc>
          <w:tcPr>
            <w:tcW w:w="1460" w:type="dxa"/>
            <w:vAlign w:val="bottom"/>
          </w:tcPr>
          <w:p>
            <w:pPr>
              <w:ind w:left="20"/>
              <w:spacing w:after="0"/>
              <w:rPr>
                <w:sz w:val="20"/>
                <w:szCs w:val="20"/>
                <w:color w:val="auto"/>
              </w:rPr>
            </w:pPr>
            <w:r>
              <w:rPr>
                <w:rFonts w:ascii="Arial" w:cs="Arial" w:eastAsia="Arial" w:hAnsi="Arial"/>
                <w:sz w:val="8"/>
                <w:szCs w:val="8"/>
                <w:color w:val="auto"/>
              </w:rPr>
              <w:t>% Change</w:t>
            </w:r>
          </w:p>
        </w:tc>
        <w:tc>
          <w:tcPr>
            <w:tcW w:w="3540" w:type="dxa"/>
            <w:vAlign w:val="bottom"/>
            <w:gridSpan w:val="2"/>
          </w:tcPr>
          <w:p>
            <w:pPr>
              <w:jc w:val="center"/>
              <w:ind w:left="2639"/>
              <w:spacing w:after="0"/>
              <w:rPr>
                <w:sz w:val="20"/>
                <w:szCs w:val="20"/>
                <w:color w:val="auto"/>
              </w:rPr>
            </w:pPr>
            <w:r>
              <w:rPr>
                <w:rFonts w:ascii="Arial" w:cs="Arial" w:eastAsia="Arial" w:hAnsi="Arial"/>
                <w:sz w:val="8"/>
                <w:szCs w:val="8"/>
                <w:color w:val="auto"/>
                <w:w w:val="96"/>
              </w:rPr>
              <w:t>15.9%</w:t>
            </w:r>
          </w:p>
        </w:tc>
        <w:tc>
          <w:tcPr>
            <w:tcW w:w="900" w:type="dxa"/>
            <w:vAlign w:val="bottom"/>
          </w:tcPr>
          <w:p>
            <w:pPr>
              <w:jc w:val="center"/>
              <w:spacing w:after="0"/>
              <w:rPr>
                <w:sz w:val="20"/>
                <w:szCs w:val="20"/>
                <w:color w:val="auto"/>
              </w:rPr>
            </w:pPr>
            <w:r>
              <w:rPr>
                <w:rFonts w:ascii="Arial" w:cs="Arial" w:eastAsia="Arial" w:hAnsi="Arial"/>
                <w:sz w:val="8"/>
                <w:szCs w:val="8"/>
                <w:color w:val="auto"/>
                <w:w w:val="96"/>
              </w:rPr>
              <w:t>13.3%</w:t>
            </w:r>
          </w:p>
        </w:tc>
        <w:tc>
          <w:tcPr>
            <w:tcW w:w="880" w:type="dxa"/>
            <w:vAlign w:val="bottom"/>
          </w:tcPr>
          <w:p>
            <w:pPr>
              <w:jc w:val="center"/>
              <w:spacing w:after="0"/>
              <w:rPr>
                <w:sz w:val="20"/>
                <w:szCs w:val="20"/>
                <w:color w:val="auto"/>
              </w:rPr>
            </w:pPr>
            <w:r>
              <w:rPr>
                <w:rFonts w:ascii="Arial" w:cs="Arial" w:eastAsia="Arial" w:hAnsi="Arial"/>
                <w:sz w:val="8"/>
                <w:szCs w:val="8"/>
                <w:color w:val="auto"/>
              </w:rPr>
              <w:t>108.3%</w:t>
            </w:r>
          </w:p>
        </w:tc>
        <w:tc>
          <w:tcPr>
            <w:tcW w:w="880" w:type="dxa"/>
            <w:vAlign w:val="bottom"/>
          </w:tcPr>
          <w:p>
            <w:pPr>
              <w:jc w:val="center"/>
              <w:spacing w:after="0"/>
              <w:rPr>
                <w:sz w:val="20"/>
                <w:szCs w:val="20"/>
                <w:color w:val="auto"/>
              </w:rPr>
            </w:pPr>
            <w:r>
              <w:rPr>
                <w:rFonts w:ascii="Arial" w:cs="Arial" w:eastAsia="Arial" w:hAnsi="Arial"/>
                <w:sz w:val="8"/>
                <w:szCs w:val="8"/>
                <w:color w:val="auto"/>
              </w:rPr>
              <w:t>(18.9)%</w:t>
            </w:r>
          </w:p>
        </w:tc>
        <w:tc>
          <w:tcPr>
            <w:tcW w:w="880" w:type="dxa"/>
            <w:vAlign w:val="bottom"/>
          </w:tcPr>
          <w:p>
            <w:pPr>
              <w:jc w:val="center"/>
              <w:spacing w:after="0"/>
              <w:rPr>
                <w:sz w:val="20"/>
                <w:szCs w:val="20"/>
                <w:color w:val="auto"/>
              </w:rPr>
            </w:pPr>
            <w:r>
              <w:rPr>
                <w:rFonts w:ascii="Arial" w:cs="Arial" w:eastAsia="Arial" w:hAnsi="Arial"/>
                <w:sz w:val="8"/>
                <w:szCs w:val="8"/>
                <w:color w:val="auto"/>
                <w:w w:val="99"/>
              </w:rPr>
              <w:t>(18.6)%</w:t>
            </w:r>
          </w:p>
        </w:tc>
        <w:tc>
          <w:tcPr>
            <w:tcW w:w="840" w:type="dxa"/>
            <w:vAlign w:val="bottom"/>
          </w:tcPr>
          <w:p>
            <w:pPr>
              <w:jc w:val="center"/>
              <w:spacing w:after="0"/>
              <w:rPr>
                <w:sz w:val="20"/>
                <w:szCs w:val="20"/>
                <w:color w:val="auto"/>
              </w:rPr>
            </w:pPr>
            <w:r>
              <w:rPr>
                <w:rFonts w:ascii="Arial" w:cs="Arial" w:eastAsia="Arial" w:hAnsi="Arial"/>
                <w:sz w:val="8"/>
                <w:szCs w:val="8"/>
                <w:color w:val="auto"/>
              </w:rPr>
              <w:t>7.4%</w:t>
            </w:r>
          </w:p>
        </w:tc>
        <w:tc>
          <w:tcPr>
            <w:tcW w:w="920" w:type="dxa"/>
            <w:vAlign w:val="bottom"/>
          </w:tcPr>
          <w:p>
            <w:pPr>
              <w:jc w:val="center"/>
              <w:spacing w:after="0"/>
              <w:rPr>
                <w:sz w:val="20"/>
                <w:szCs w:val="20"/>
                <w:color w:val="auto"/>
              </w:rPr>
            </w:pPr>
            <w:r>
              <w:rPr>
                <w:rFonts w:ascii="Arial" w:cs="Arial" w:eastAsia="Arial" w:hAnsi="Arial"/>
                <w:sz w:val="8"/>
                <w:szCs w:val="8"/>
                <w:color w:val="auto"/>
                <w:w w:val="99"/>
              </w:rPr>
              <w:t>(18.8)%</w:t>
            </w:r>
          </w:p>
        </w:tc>
        <w:tc>
          <w:tcPr>
            <w:tcW w:w="900" w:type="dxa"/>
            <w:vAlign w:val="bottom"/>
          </w:tcPr>
          <w:p>
            <w:pPr>
              <w:jc w:val="center"/>
              <w:spacing w:after="0"/>
              <w:rPr>
                <w:sz w:val="20"/>
                <w:szCs w:val="20"/>
                <w:color w:val="auto"/>
              </w:rPr>
            </w:pPr>
            <w:r>
              <w:rPr>
                <w:rFonts w:ascii="Arial" w:cs="Arial" w:eastAsia="Arial" w:hAnsi="Arial"/>
                <w:sz w:val="8"/>
                <w:szCs w:val="8"/>
                <w:color w:val="auto"/>
                <w:w w:val="98"/>
              </w:rPr>
              <w:t>1.6%</w:t>
            </w:r>
          </w:p>
        </w:tc>
        <w:tc>
          <w:tcPr>
            <w:tcW w:w="0" w:type="dxa"/>
            <w:vAlign w:val="bottom"/>
          </w:tcPr>
          <w:p>
            <w:pPr>
              <w:spacing w:after="0"/>
              <w:rPr>
                <w:sz w:val="1"/>
                <w:szCs w:val="1"/>
                <w:color w:val="auto"/>
              </w:rPr>
            </w:pPr>
          </w:p>
        </w:tc>
      </w:tr>
      <w:tr>
        <w:trPr>
          <w:trHeight w:val="132"/>
        </w:trPr>
        <w:tc>
          <w:tcPr>
            <w:tcW w:w="1460" w:type="dxa"/>
            <w:vAlign w:val="bottom"/>
            <w:shd w:val="clear" w:color="auto" w:fill="CCEEFF"/>
          </w:tcPr>
          <w:p>
            <w:pPr>
              <w:ind w:left="20"/>
              <w:spacing w:after="0"/>
              <w:rPr>
                <w:sz w:val="20"/>
                <w:szCs w:val="20"/>
                <w:color w:val="auto"/>
              </w:rPr>
            </w:pPr>
            <w:r>
              <w:rPr>
                <w:rFonts w:ascii="Arial" w:cs="Arial" w:eastAsia="Arial" w:hAnsi="Arial"/>
                <w:sz w:val="8"/>
                <w:szCs w:val="8"/>
                <w:color w:val="auto"/>
              </w:rPr>
              <w:t>New Delinquency Count</w:t>
            </w:r>
          </w:p>
        </w:tc>
        <w:tc>
          <w:tcPr>
            <w:tcW w:w="3540" w:type="dxa"/>
            <w:vAlign w:val="bottom"/>
            <w:gridSpan w:val="2"/>
            <w:shd w:val="clear" w:color="auto" w:fill="CCEEFF"/>
          </w:tcPr>
          <w:p>
            <w:pPr>
              <w:jc w:val="center"/>
              <w:ind w:left="2619"/>
              <w:spacing w:after="0"/>
              <w:rPr>
                <w:sz w:val="20"/>
                <w:szCs w:val="20"/>
                <w:color w:val="auto"/>
              </w:rPr>
            </w:pPr>
            <w:r>
              <w:rPr>
                <w:rFonts w:ascii="Arial" w:cs="Arial" w:eastAsia="Arial" w:hAnsi="Arial"/>
                <w:sz w:val="8"/>
                <w:szCs w:val="8"/>
                <w:color w:val="auto"/>
                <w:w w:val="99"/>
              </w:rPr>
              <w:t>8,114</w:t>
            </w: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48,373</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16,664</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rPr>
              <w:t>11,923</w:t>
            </w:r>
          </w:p>
        </w:tc>
        <w:tc>
          <w:tcPr>
            <w:tcW w:w="880" w:type="dxa"/>
            <w:vAlign w:val="bottom"/>
            <w:shd w:val="clear" w:color="auto" w:fill="CCEEFF"/>
          </w:tcPr>
          <w:p>
            <w:pPr>
              <w:jc w:val="center"/>
              <w:spacing w:after="0"/>
              <w:rPr>
                <w:sz w:val="20"/>
                <w:szCs w:val="20"/>
                <w:color w:val="auto"/>
              </w:rPr>
            </w:pPr>
            <w:r>
              <w:rPr>
                <w:rFonts w:ascii="Arial" w:cs="Arial" w:eastAsia="Arial" w:hAnsi="Arial"/>
                <w:sz w:val="8"/>
                <w:szCs w:val="8"/>
                <w:color w:val="auto"/>
                <w:w w:val="97"/>
              </w:rPr>
              <w:t>10,053</w:t>
            </w:r>
          </w:p>
        </w:tc>
        <w:tc>
          <w:tcPr>
            <w:tcW w:w="840" w:type="dxa"/>
            <w:vAlign w:val="bottom"/>
            <w:shd w:val="clear" w:color="auto" w:fill="CCEEFF"/>
          </w:tcPr>
          <w:p>
            <w:pPr>
              <w:jc w:val="center"/>
              <w:spacing w:after="0"/>
              <w:rPr>
                <w:sz w:val="20"/>
                <w:szCs w:val="20"/>
                <w:color w:val="auto"/>
              </w:rPr>
            </w:pPr>
            <w:r>
              <w:rPr>
                <w:rFonts w:ascii="Arial" w:cs="Arial" w:eastAsia="Arial" w:hAnsi="Arial"/>
                <w:sz w:val="8"/>
                <w:szCs w:val="8"/>
                <w:color w:val="auto"/>
                <w:w w:val="99"/>
              </w:rPr>
              <w:t>6,862</w:t>
            </w:r>
          </w:p>
        </w:tc>
        <w:tc>
          <w:tcPr>
            <w:tcW w:w="920" w:type="dxa"/>
            <w:vAlign w:val="bottom"/>
            <w:shd w:val="clear" w:color="auto" w:fill="CCEEFF"/>
          </w:tcPr>
          <w:p>
            <w:pPr>
              <w:jc w:val="center"/>
              <w:spacing w:after="0"/>
              <w:rPr>
                <w:sz w:val="20"/>
                <w:szCs w:val="20"/>
                <w:color w:val="auto"/>
              </w:rPr>
            </w:pPr>
            <w:r>
              <w:rPr>
                <w:rFonts w:ascii="Arial" w:cs="Arial" w:eastAsia="Arial" w:hAnsi="Arial"/>
                <w:sz w:val="8"/>
                <w:szCs w:val="8"/>
                <w:color w:val="auto"/>
                <w:w w:val="99"/>
              </w:rPr>
              <w:t>7,427</w:t>
            </w:r>
          </w:p>
        </w:tc>
        <w:tc>
          <w:tcPr>
            <w:tcW w:w="900" w:type="dxa"/>
            <w:vAlign w:val="bottom"/>
            <w:shd w:val="clear" w:color="auto" w:fill="CCEEFF"/>
          </w:tcPr>
          <w:p>
            <w:pPr>
              <w:jc w:val="center"/>
              <w:spacing w:after="0"/>
              <w:rPr>
                <w:sz w:val="20"/>
                <w:szCs w:val="20"/>
                <w:color w:val="auto"/>
              </w:rPr>
            </w:pPr>
            <w:r>
              <w:rPr>
                <w:rFonts w:ascii="Arial" w:cs="Arial" w:eastAsia="Arial" w:hAnsi="Arial"/>
                <w:sz w:val="8"/>
                <w:szCs w:val="8"/>
                <w:color w:val="auto"/>
              </w:rPr>
              <w:t>8,282</w:t>
            </w:r>
          </w:p>
        </w:tc>
        <w:tc>
          <w:tcPr>
            <w:tcW w:w="0" w:type="dxa"/>
            <w:vAlign w:val="bottom"/>
          </w:tcPr>
          <w:p>
            <w:pPr>
              <w:spacing w:after="0"/>
              <w:rPr>
                <w:sz w:val="1"/>
                <w:szCs w:val="1"/>
                <w:color w:val="auto"/>
              </w:rPr>
            </w:pPr>
          </w:p>
        </w:tc>
      </w:tr>
      <w:tr>
        <w:trPr>
          <w:trHeight w:val="106"/>
        </w:trPr>
        <w:tc>
          <w:tcPr>
            <w:tcW w:w="1460" w:type="dxa"/>
            <w:vAlign w:val="bottom"/>
          </w:tcPr>
          <w:p>
            <w:pPr>
              <w:ind w:left="20"/>
              <w:spacing w:after="0"/>
              <w:rPr>
                <w:sz w:val="20"/>
                <w:szCs w:val="20"/>
                <w:color w:val="auto"/>
              </w:rPr>
            </w:pPr>
            <w:r>
              <w:rPr>
                <w:rFonts w:ascii="Arial" w:cs="Arial" w:eastAsia="Arial" w:hAnsi="Arial"/>
                <w:sz w:val="8"/>
                <w:szCs w:val="8"/>
                <w:color w:val="auto"/>
              </w:rPr>
              <w:t>% Change</w:t>
            </w:r>
          </w:p>
        </w:tc>
        <w:tc>
          <w:tcPr>
            <w:tcW w:w="3540" w:type="dxa"/>
            <w:vAlign w:val="bottom"/>
            <w:gridSpan w:val="2"/>
          </w:tcPr>
          <w:p>
            <w:pPr>
              <w:jc w:val="center"/>
              <w:ind w:left="2619"/>
              <w:spacing w:after="0"/>
              <w:rPr>
                <w:sz w:val="20"/>
                <w:szCs w:val="20"/>
                <w:color w:val="auto"/>
              </w:rPr>
            </w:pPr>
            <w:r>
              <w:rPr>
                <w:rFonts w:ascii="Arial" w:cs="Arial" w:eastAsia="Arial" w:hAnsi="Arial"/>
                <w:sz w:val="8"/>
                <w:szCs w:val="8"/>
                <w:color w:val="auto"/>
              </w:rPr>
              <w:t>(6.3)%</w:t>
            </w:r>
          </w:p>
        </w:tc>
        <w:tc>
          <w:tcPr>
            <w:tcW w:w="900" w:type="dxa"/>
            <w:vAlign w:val="bottom"/>
          </w:tcPr>
          <w:p>
            <w:pPr>
              <w:jc w:val="center"/>
              <w:spacing w:after="0"/>
              <w:rPr>
                <w:sz w:val="20"/>
                <w:szCs w:val="20"/>
                <w:color w:val="auto"/>
              </w:rPr>
            </w:pPr>
            <w:r>
              <w:rPr>
                <w:rFonts w:ascii="Arial" w:cs="Arial" w:eastAsia="Arial" w:hAnsi="Arial"/>
                <w:sz w:val="8"/>
                <w:szCs w:val="8"/>
                <w:color w:val="auto"/>
                <w:w w:val="95"/>
              </w:rPr>
              <w:t>496.2%</w:t>
            </w:r>
          </w:p>
        </w:tc>
        <w:tc>
          <w:tcPr>
            <w:tcW w:w="880" w:type="dxa"/>
            <w:vAlign w:val="bottom"/>
          </w:tcPr>
          <w:p>
            <w:pPr>
              <w:jc w:val="center"/>
              <w:spacing w:after="0"/>
              <w:rPr>
                <w:sz w:val="20"/>
                <w:szCs w:val="20"/>
                <w:color w:val="auto"/>
              </w:rPr>
            </w:pPr>
            <w:r>
              <w:rPr>
                <w:rFonts w:ascii="Arial" w:cs="Arial" w:eastAsia="Arial" w:hAnsi="Arial"/>
                <w:sz w:val="8"/>
                <w:szCs w:val="8"/>
                <w:color w:val="auto"/>
              </w:rPr>
              <w:t>(65.6)%</w:t>
            </w:r>
          </w:p>
        </w:tc>
        <w:tc>
          <w:tcPr>
            <w:tcW w:w="880" w:type="dxa"/>
            <w:vAlign w:val="bottom"/>
          </w:tcPr>
          <w:p>
            <w:pPr>
              <w:jc w:val="center"/>
              <w:spacing w:after="0"/>
              <w:rPr>
                <w:sz w:val="20"/>
                <w:szCs w:val="20"/>
                <w:color w:val="auto"/>
              </w:rPr>
            </w:pPr>
            <w:r>
              <w:rPr>
                <w:rFonts w:ascii="Arial" w:cs="Arial" w:eastAsia="Arial" w:hAnsi="Arial"/>
                <w:sz w:val="8"/>
                <w:szCs w:val="8"/>
                <w:color w:val="auto"/>
              </w:rPr>
              <w:t>(28.5)%</w:t>
            </w:r>
          </w:p>
        </w:tc>
        <w:tc>
          <w:tcPr>
            <w:tcW w:w="880" w:type="dxa"/>
            <w:vAlign w:val="bottom"/>
          </w:tcPr>
          <w:p>
            <w:pPr>
              <w:jc w:val="center"/>
              <w:spacing w:after="0"/>
              <w:rPr>
                <w:sz w:val="20"/>
                <w:szCs w:val="20"/>
                <w:color w:val="auto"/>
              </w:rPr>
            </w:pPr>
            <w:r>
              <w:rPr>
                <w:rFonts w:ascii="Arial" w:cs="Arial" w:eastAsia="Arial" w:hAnsi="Arial"/>
                <w:sz w:val="8"/>
                <w:szCs w:val="8"/>
                <w:color w:val="auto"/>
                <w:w w:val="99"/>
              </w:rPr>
              <w:t>(15.7)%</w:t>
            </w:r>
          </w:p>
        </w:tc>
        <w:tc>
          <w:tcPr>
            <w:tcW w:w="840" w:type="dxa"/>
            <w:vAlign w:val="bottom"/>
          </w:tcPr>
          <w:p>
            <w:pPr>
              <w:jc w:val="center"/>
              <w:spacing w:after="0"/>
              <w:rPr>
                <w:sz w:val="20"/>
                <w:szCs w:val="20"/>
                <w:color w:val="auto"/>
              </w:rPr>
            </w:pPr>
            <w:r>
              <w:rPr>
                <w:rFonts w:ascii="Arial" w:cs="Arial" w:eastAsia="Arial" w:hAnsi="Arial"/>
                <w:sz w:val="8"/>
                <w:szCs w:val="8"/>
                <w:color w:val="auto"/>
                <w:w w:val="99"/>
              </w:rPr>
              <w:t>(31.7)%</w:t>
            </w:r>
          </w:p>
        </w:tc>
        <w:tc>
          <w:tcPr>
            <w:tcW w:w="920" w:type="dxa"/>
            <w:vAlign w:val="bottom"/>
          </w:tcPr>
          <w:p>
            <w:pPr>
              <w:jc w:val="center"/>
              <w:spacing w:after="0"/>
              <w:rPr>
                <w:sz w:val="20"/>
                <w:szCs w:val="20"/>
                <w:color w:val="auto"/>
              </w:rPr>
            </w:pPr>
            <w:r>
              <w:rPr>
                <w:rFonts w:ascii="Arial" w:cs="Arial" w:eastAsia="Arial" w:hAnsi="Arial"/>
                <w:sz w:val="8"/>
                <w:szCs w:val="8"/>
                <w:color w:val="auto"/>
              </w:rPr>
              <w:t>8.2%</w:t>
            </w:r>
          </w:p>
        </w:tc>
        <w:tc>
          <w:tcPr>
            <w:tcW w:w="900" w:type="dxa"/>
            <w:vAlign w:val="bottom"/>
          </w:tcPr>
          <w:p>
            <w:pPr>
              <w:jc w:val="center"/>
              <w:spacing w:after="0"/>
              <w:rPr>
                <w:sz w:val="20"/>
                <w:szCs w:val="20"/>
                <w:color w:val="auto"/>
              </w:rPr>
            </w:pPr>
            <w:r>
              <w:rPr>
                <w:rFonts w:ascii="Arial" w:cs="Arial" w:eastAsia="Arial" w:hAnsi="Arial"/>
                <w:sz w:val="8"/>
                <w:szCs w:val="8"/>
                <w:color w:val="auto"/>
                <w:w w:val="96"/>
              </w:rPr>
              <w:t>11.5%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NIW</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83" w:name="page84"/>
    <w:bookmarkEnd w:id="83"/>
    <w:p>
      <w:pPr>
        <w:ind w:left="240"/>
        <w:spacing w:after="0"/>
        <w:rPr>
          <w:sz w:val="20"/>
          <w:szCs w:val="20"/>
          <w:color w:val="auto"/>
        </w:rPr>
      </w:pPr>
      <w:r>
        <w:rPr>
          <w:rFonts w:ascii="Arial" w:cs="Arial" w:eastAsia="Arial" w:hAnsi="Arial"/>
          <w:sz w:val="14"/>
          <w:szCs w:val="14"/>
          <w:b w:val="1"/>
          <w:bCs w:val="1"/>
          <w:i w:val="1"/>
          <w:iCs w:val="1"/>
          <w:color w:val="auto"/>
        </w:rPr>
        <w:t>Pricing</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pricing strategy is designed to charge premium rates commensurate with the underlying risk of each loan we insure. Our proprietary platform provides us with a more flexible, granular and analytical approach to selecting and pricing risk. Using our platform, we can quickly change price to modify our risk selection levels, respond to industry pricing trends or adjust to changing economic conditions. We believe that our platform,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IIF</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IIF at the time of origination is used to determine premiums as the premium rate is expressed as a percentage of IIF.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Persistency Rate and Business Mix</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following table presents the weighted average mortgage interest rate on outstanding primary IIF as of December 31, 2021,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26"/>
        </w:trPr>
        <w:tc>
          <w:tcPr>
            <w:tcW w:w="9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96"/>
              </w:rPr>
              <w:t>Weighted</w:t>
            </w:r>
          </w:p>
        </w:tc>
        <w:tc>
          <w:tcPr>
            <w:tcW w:w="0" w:type="dxa"/>
            <w:vAlign w:val="bottom"/>
          </w:tcPr>
          <w:p>
            <w:pPr>
              <w:spacing w:after="0"/>
              <w:rPr>
                <w:sz w:val="1"/>
                <w:szCs w:val="1"/>
                <w:color w:val="auto"/>
              </w:rPr>
            </w:pPr>
          </w:p>
        </w:tc>
      </w:tr>
      <w:tr>
        <w:trPr>
          <w:trHeight w:val="103"/>
        </w:trPr>
        <w:tc>
          <w:tcPr>
            <w:tcW w:w="9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Policy Year</w:t>
            </w:r>
          </w:p>
        </w:tc>
        <w:tc>
          <w:tcPr>
            <w:tcW w:w="80" w:type="dxa"/>
            <w:vAlign w:val="bottom"/>
            <w:vMerge w:val="restart"/>
          </w:tcPr>
          <w:p>
            <w:pPr>
              <w:spacing w:after="0"/>
              <w:rPr>
                <w:sz w:val="8"/>
                <w:szCs w:val="8"/>
                <w:color w:val="auto"/>
              </w:rPr>
            </w:pPr>
          </w:p>
        </w:tc>
        <w:tc>
          <w:tcPr>
            <w:tcW w:w="168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33"/>
        </w:trPr>
        <w:tc>
          <w:tcPr>
            <w:tcW w:w="9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68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1"/>
                <w:szCs w:val="11"/>
                <w:b w:val="1"/>
                <w:bCs w:val="1"/>
                <w:color w:val="auto"/>
                <w:w w:val="92"/>
              </w:rPr>
              <w:t xml:space="preserve">rate </w:t>
            </w:r>
            <w:r>
              <w:rPr>
                <w:rFonts w:ascii="Arial" w:cs="Arial" w:eastAsia="Arial" w:hAnsi="Arial"/>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65"/>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2004 and prior</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6.20 %</w:t>
            </w:r>
          </w:p>
        </w:tc>
        <w:tc>
          <w:tcPr>
            <w:tcW w:w="0" w:type="dxa"/>
            <w:vAlign w:val="bottom"/>
          </w:tcPr>
          <w:p>
            <w:pPr>
              <w:spacing w:after="0"/>
              <w:rPr>
                <w:sz w:val="1"/>
                <w:szCs w:val="1"/>
                <w:color w:val="auto"/>
              </w:rPr>
            </w:pPr>
          </w:p>
        </w:tc>
      </w:tr>
      <w:tr>
        <w:trPr>
          <w:trHeight w:val="174"/>
        </w:trPr>
        <w:tc>
          <w:tcPr>
            <w:tcW w:w="9600" w:type="dxa"/>
            <w:vAlign w:val="bottom"/>
            <w:gridSpan w:val="2"/>
          </w:tcPr>
          <w:p>
            <w:pPr>
              <w:ind w:left="20"/>
              <w:spacing w:after="0"/>
              <w:rPr>
                <w:sz w:val="20"/>
                <w:szCs w:val="20"/>
                <w:color w:val="auto"/>
              </w:rPr>
            </w:pPr>
            <w:r>
              <w:rPr>
                <w:rFonts w:ascii="Arial" w:cs="Arial" w:eastAsia="Arial" w:hAnsi="Arial"/>
                <w:sz w:val="14"/>
                <w:szCs w:val="14"/>
                <w:color w:val="auto"/>
              </w:rPr>
              <w:t>2005 to 2008</w:t>
            </w:r>
          </w:p>
        </w:tc>
        <w:tc>
          <w:tcPr>
            <w:tcW w:w="1680" w:type="dxa"/>
            <w:vAlign w:val="bottom"/>
          </w:tcPr>
          <w:p>
            <w:pPr>
              <w:jc w:val="right"/>
              <w:spacing w:after="0"/>
              <w:rPr>
                <w:sz w:val="20"/>
                <w:szCs w:val="20"/>
                <w:color w:val="auto"/>
              </w:rPr>
            </w:pPr>
            <w:r>
              <w:rPr>
                <w:rFonts w:ascii="Arial" w:cs="Arial" w:eastAsia="Arial" w:hAnsi="Arial"/>
                <w:sz w:val="14"/>
                <w:szCs w:val="14"/>
                <w:color w:val="auto"/>
              </w:rPr>
              <w:t>5.58 %</w:t>
            </w:r>
          </w:p>
        </w:tc>
        <w:tc>
          <w:tcPr>
            <w:tcW w:w="0" w:type="dxa"/>
            <w:vAlign w:val="bottom"/>
          </w:tcPr>
          <w:p>
            <w:pPr>
              <w:spacing w:after="0"/>
              <w:rPr>
                <w:sz w:val="1"/>
                <w:szCs w:val="1"/>
                <w:color w:val="auto"/>
              </w:rPr>
            </w:pPr>
          </w:p>
        </w:tc>
      </w:tr>
      <w:tr>
        <w:trPr>
          <w:trHeight w:val="175"/>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2009 to 2013</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4.32 %</w:t>
            </w:r>
          </w:p>
        </w:tc>
        <w:tc>
          <w:tcPr>
            <w:tcW w:w="0" w:type="dxa"/>
            <w:vAlign w:val="bottom"/>
          </w:tcPr>
          <w:p>
            <w:pPr>
              <w:spacing w:after="0"/>
              <w:rPr>
                <w:sz w:val="1"/>
                <w:szCs w:val="1"/>
                <w:color w:val="auto"/>
              </w:rPr>
            </w:pPr>
          </w:p>
        </w:tc>
      </w:tr>
      <w:tr>
        <w:trPr>
          <w:trHeight w:val="174"/>
        </w:trPr>
        <w:tc>
          <w:tcPr>
            <w:tcW w:w="9520" w:type="dxa"/>
            <w:vAlign w:val="bottom"/>
          </w:tcPr>
          <w:p>
            <w:pPr>
              <w:ind w:left="20"/>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4.49 %</w:t>
            </w:r>
          </w:p>
        </w:tc>
        <w:tc>
          <w:tcPr>
            <w:tcW w:w="0" w:type="dxa"/>
            <w:vAlign w:val="bottom"/>
          </w:tcPr>
          <w:p>
            <w:pPr>
              <w:spacing w:after="0"/>
              <w:rPr>
                <w:sz w:val="1"/>
                <w:szCs w:val="1"/>
                <w:color w:val="auto"/>
              </w:rPr>
            </w:pPr>
          </w:p>
        </w:tc>
      </w:tr>
      <w:tr>
        <w:trPr>
          <w:trHeight w:val="175"/>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4.17 %</w:t>
            </w:r>
          </w:p>
        </w:tc>
        <w:tc>
          <w:tcPr>
            <w:tcW w:w="0" w:type="dxa"/>
            <w:vAlign w:val="bottom"/>
          </w:tcPr>
          <w:p>
            <w:pPr>
              <w:spacing w:after="0"/>
              <w:rPr>
                <w:sz w:val="1"/>
                <w:szCs w:val="1"/>
                <w:color w:val="auto"/>
              </w:rPr>
            </w:pPr>
          </w:p>
        </w:tc>
      </w:tr>
      <w:tr>
        <w:trPr>
          <w:trHeight w:val="174"/>
        </w:trPr>
        <w:tc>
          <w:tcPr>
            <w:tcW w:w="9520" w:type="dxa"/>
            <w:vAlign w:val="bottom"/>
          </w:tcPr>
          <w:p>
            <w:pPr>
              <w:ind w:left="2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3.89 %</w:t>
            </w:r>
          </w:p>
        </w:tc>
        <w:tc>
          <w:tcPr>
            <w:tcW w:w="0" w:type="dxa"/>
            <w:vAlign w:val="bottom"/>
          </w:tcPr>
          <w:p>
            <w:pPr>
              <w:spacing w:after="0"/>
              <w:rPr>
                <w:sz w:val="1"/>
                <w:szCs w:val="1"/>
                <w:color w:val="auto"/>
              </w:rPr>
            </w:pPr>
          </w:p>
        </w:tc>
      </w:tr>
      <w:tr>
        <w:trPr>
          <w:trHeight w:val="175"/>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4.26 %</w:t>
            </w:r>
          </w:p>
        </w:tc>
        <w:tc>
          <w:tcPr>
            <w:tcW w:w="0" w:type="dxa"/>
            <w:vAlign w:val="bottom"/>
          </w:tcPr>
          <w:p>
            <w:pPr>
              <w:spacing w:after="0"/>
              <w:rPr>
                <w:sz w:val="1"/>
                <w:szCs w:val="1"/>
                <w:color w:val="auto"/>
              </w:rPr>
            </w:pPr>
          </w:p>
        </w:tc>
      </w:tr>
      <w:tr>
        <w:trPr>
          <w:trHeight w:val="174"/>
        </w:trPr>
        <w:tc>
          <w:tcPr>
            <w:tcW w:w="9520" w:type="dxa"/>
            <w:vAlign w:val="bottom"/>
          </w:tcPr>
          <w:p>
            <w:pPr>
              <w:ind w:left="2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4.78 %</w:t>
            </w:r>
          </w:p>
        </w:tc>
        <w:tc>
          <w:tcPr>
            <w:tcW w:w="0" w:type="dxa"/>
            <w:vAlign w:val="bottom"/>
          </w:tcPr>
          <w:p>
            <w:pPr>
              <w:spacing w:after="0"/>
              <w:rPr>
                <w:sz w:val="1"/>
                <w:szCs w:val="1"/>
                <w:color w:val="auto"/>
              </w:rPr>
            </w:pPr>
          </w:p>
        </w:tc>
      </w:tr>
      <w:tr>
        <w:trPr>
          <w:trHeight w:val="175"/>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4.20 %</w:t>
            </w:r>
          </w:p>
        </w:tc>
        <w:tc>
          <w:tcPr>
            <w:tcW w:w="0" w:type="dxa"/>
            <w:vAlign w:val="bottom"/>
          </w:tcPr>
          <w:p>
            <w:pPr>
              <w:spacing w:after="0"/>
              <w:rPr>
                <w:sz w:val="1"/>
                <w:szCs w:val="1"/>
                <w:color w:val="auto"/>
              </w:rPr>
            </w:pPr>
          </w:p>
        </w:tc>
      </w:tr>
      <w:tr>
        <w:trPr>
          <w:trHeight w:val="174"/>
        </w:trPr>
        <w:tc>
          <w:tcPr>
            <w:tcW w:w="9520" w:type="dxa"/>
            <w:vAlign w:val="bottom"/>
          </w:tcPr>
          <w:p>
            <w:pPr>
              <w:ind w:left="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3.23 %</w:t>
            </w:r>
          </w:p>
        </w:tc>
        <w:tc>
          <w:tcPr>
            <w:tcW w:w="0" w:type="dxa"/>
            <w:vAlign w:val="bottom"/>
          </w:tcPr>
          <w:p>
            <w:pPr>
              <w:spacing w:after="0"/>
              <w:rPr>
                <w:sz w:val="1"/>
                <w:szCs w:val="1"/>
                <w:color w:val="auto"/>
              </w:rPr>
            </w:pPr>
          </w:p>
        </w:tc>
      </w:tr>
      <w:tr>
        <w:trPr>
          <w:trHeight w:val="175"/>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0" w:type="dxa"/>
            <w:vAlign w:val="bottom"/>
          </w:tcPr>
          <w:p>
            <w:pPr>
              <w:spacing w:after="0"/>
              <w:rPr>
                <w:sz w:val="1"/>
                <w:szCs w:val="1"/>
                <w:color w:val="auto"/>
              </w:rPr>
            </w:pPr>
          </w:p>
        </w:tc>
      </w:tr>
      <w:tr>
        <w:trPr>
          <w:trHeight w:val="180"/>
        </w:trPr>
        <w:tc>
          <w:tcPr>
            <w:tcW w:w="96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portfolio</w:t>
            </w:r>
          </w:p>
        </w:tc>
        <w:tc>
          <w:tcPr>
            <w:tcW w:w="1680" w:type="dxa"/>
            <w:vAlign w:val="bottom"/>
          </w:tcPr>
          <w:p>
            <w:pPr>
              <w:jc w:val="right"/>
              <w:spacing w:after="0"/>
              <w:rPr>
                <w:sz w:val="20"/>
                <w:szCs w:val="20"/>
                <w:color w:val="auto"/>
              </w:rPr>
            </w:pPr>
            <w:r>
              <w:rPr>
                <w:rFonts w:ascii="Arial" w:cs="Arial" w:eastAsia="Arial" w:hAnsi="Arial"/>
                <w:sz w:val="14"/>
                <w:szCs w:val="14"/>
                <w:color w:val="auto"/>
              </w:rPr>
              <w:t>3.52 %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tabs>
          <w:tab w:leader="none" w:pos="22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0"/>
          <w:szCs w:val="10"/>
          <w:color w:val="auto"/>
        </w:rPr>
        <w:t>Average Annual Mortgage Interest Rate weighted by IIF.</w:t>
      </w:r>
    </w:p>
    <w:p>
      <w:pPr>
        <w:spacing w:after="0" w:line="115"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December 31, 2021 and 2020, single premium policies comprised 13% and 15% of primary IIF, respectively.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Credit Quality</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investment income is determined primarily by the invested assets held and the average yield on our overall investment portfolio.</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Net Investment Gains (Losses)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Losses Incurred</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Losses incurred represent current payments and changes in the estimated future payments on claims that result from delinquent loans. We estimate an expense only for delinquent loans as explained in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54" w:right="319" w:bottom="1440" w:gutter="0" w:footer="0" w:header="0"/>
        </w:sectPr>
      </w:pPr>
    </w:p>
    <w:bookmarkStart w:id="85" w:name="page86"/>
    <w:bookmarkEnd w:id="85"/>
    <w:p>
      <w:pPr>
        <w:spacing w:after="0" w:line="248" w:lineRule="auto"/>
        <w:rPr>
          <w:sz w:val="20"/>
          <w:szCs w:val="20"/>
          <w:color w:val="auto"/>
        </w:rPr>
      </w:pPr>
      <w:r>
        <w:rPr>
          <w:rFonts w:ascii="Arial" w:cs="Arial" w:eastAsia="Arial" w:hAnsi="Arial"/>
          <w:sz w:val="14"/>
          <w:szCs w:val="14"/>
          <w:color w:val="auto"/>
        </w:rPr>
        <w:t>2 to our consolidated financial statements. Incurred losses depend to a significant extent on the following factors, each of which in turn may be affected by COVID-19 as noted below in “— Trends and Conditions.”</w:t>
      </w:r>
    </w:p>
    <w:p>
      <w:pPr>
        <w:spacing w:after="0" w:line="119" w:lineRule="exact"/>
        <w:rPr>
          <w:sz w:val="20"/>
          <w:szCs w:val="20"/>
          <w:color w:val="auto"/>
        </w:rPr>
      </w:pPr>
    </w:p>
    <w:p>
      <w:pPr>
        <w:ind w:left="500" w:hanging="25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deterioration of regional or national economic conditions leading to a reduction in borrowers’ income and thus their ability to make mortgage payments;</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legislative, regulatory, FHFA or GSE action, or executive orders permitting or mandating forbearance or a moratorium on foreclosures or evictions due to events such as natural disasters or COVID-19;</w:t>
      </w:r>
    </w:p>
    <w:p>
      <w:pPr>
        <w:spacing w:after="0" w:line="118"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drop in housing values that negatively impacts a borrower’s willingness to continue mortgage payments, potentially leading to higher delinquencies and ultimately claims;</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the foreclosure occurs in a state that imposes judicial process, which generally increases the amount of time it takes for a foreclosure to be completed, which impacts severity of the claim;</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credit characteristics in our in-force portfolio, as loans with higher risk characteristics generally result in more delinquencies and claims;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size of loans we insure, as loans with relatively higher average loan amounts generally result in higher incurred losses;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coverage percentage on insured loans, as loans with higher percentages of insurance coverage generally correlate with higher incurred losses;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level and amount of reinsurance coverage maintained with third parties; and</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Credit Risk Transfer</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 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11 to our consolidated financial statements regarding our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Loss Reserves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87" w:name="page88"/>
    <w:bookmarkEnd w:id="87"/>
    <w:p>
      <w:pPr>
        <w:jc w:val="both"/>
        <w:ind w:firstLine="246"/>
        <w:spacing w:after="0" w:line="245" w:lineRule="auto"/>
        <w:rPr>
          <w:sz w:val="20"/>
          <w:szCs w:val="20"/>
          <w:color w:val="auto"/>
        </w:rPr>
      </w:pPr>
      <w:r>
        <w:rPr>
          <w:rFonts w:ascii="Arial" w:cs="Arial" w:eastAsia="Arial" w:hAnsi="Arial"/>
          <w:sz w:val="14"/>
          <w:szCs w:val="14"/>
          <w:color w:val="auto"/>
        </w:rPr>
        <w:t>Loss reserves as of December 31, 2021, were $641 million, an increase of $86 million since December 31, 2020. In considering the potential sensitivity of the factors underlying management’s best estimate of our loss reserve, it is possible that even a relatively small change in the estimated claim and severity rates could have a significant impact on loss reserves and, correspondingly, on results of operations. For example, based on our actual experience during the three-year period immediately preceding December 31, 2021, a change of 6 percentage points, or 16%, in the average claim rate would change the gross loss reserve amount for such quarter by approximately $95 million. Likewise, a change of 4 percentage points, or a change of 4%, in the average severity rate would change the gross loss reserve amount for such quarter by approximately $24 million.</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Investments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Valuation of Fixed Maturity Securities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portfolio of fixed maturity securities was valued at $5,266 million as of December 31, 2021, an increase of $220 million from December 31, 2020.</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methodologies, estimates and assumptions used in valuing our fixed maturity securities evolve over time and are subject to different interpretations, all of which can lead to materially different estimates of fair value. Additionally, because the valuation is based on market conditions at a specific point in time, the period-to-period changes in fair value may vary significantly due to changing interest rates, external macroeconomic and credit market conditions. For example, widening credit spreads will generally result in a decrease, while tightening of credit spreads will generally result in an increase, in the fair value of our fixed maturity securities. As well, during periods of increasing interest rates, the market values of lower-yielding assets will decline. See “Item 7A—Quantitative and Qualitative Disclosures About Market Risk—Sensitivity Analysis—Interest Rate Risk” for the impact of hypothetical changes in interest rates on our investments portfolio.</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See Notes 2, 3 and 4 to our consolidated financial statements for additional information related to the valuation of fixed maturity securities and a description of the fair value measurement estimates and level assignments.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Allowance for Credit Losses on Available-For-Sale Securities</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As of each balance sheet date, we evaluate fixed maturity securities in an unrealized loss position for changes to the allowance for credit losses. Determining the value of the unrealized losses is dependent on the same methodologies and assumptions used in our valuation of fixed maturity securities. We also consider all available information relevant to the collectability of the security, including information about past events, current conditions and reasonable and supportable forecasts, when developing the estimate of cash flows expected to be collected. There is no recorded allowance for credit losses on available-for-sale securities as of December 31, 2021.</w:t>
      </w:r>
    </w:p>
    <w:p>
      <w:pPr>
        <w:spacing w:after="0" w:line="120" w:lineRule="exact"/>
        <w:rPr>
          <w:sz w:val="20"/>
          <w:szCs w:val="20"/>
          <w:color w:val="auto"/>
        </w:rPr>
      </w:pPr>
    </w:p>
    <w:p>
      <w:pPr>
        <w:ind w:left="240" w:right="1820"/>
        <w:spacing w:after="0" w:line="428" w:lineRule="auto"/>
        <w:rPr>
          <w:sz w:val="20"/>
          <w:szCs w:val="20"/>
          <w:color w:val="auto"/>
        </w:rPr>
      </w:pPr>
      <w:r>
        <w:rPr>
          <w:rFonts w:ascii="Arial" w:cs="Arial" w:eastAsia="Arial" w:hAnsi="Arial"/>
          <w:sz w:val="14"/>
          <w:szCs w:val="14"/>
          <w:color w:val="auto"/>
        </w:rPr>
        <w:t xml:space="preserve">See Note 2 and 3 to our consolidated financial statements for additional information related to the allowance for credit losses on fixed maturity securities. </w:t>
      </w:r>
      <w:r>
        <w:rPr>
          <w:rFonts w:ascii="Arial" w:cs="Arial" w:eastAsia="Arial" w:hAnsi="Arial"/>
          <w:sz w:val="14"/>
          <w:szCs w:val="14"/>
          <w:i w:val="1"/>
          <w:iCs w:val="1"/>
          <w:color w:val="auto"/>
        </w:rPr>
        <w:t>Investment in Unconsolidated Affiliate</w:t>
      </w:r>
    </w:p>
    <w:p>
      <w:pPr>
        <w:jc w:val="both"/>
        <w:ind w:firstLine="246"/>
        <w:spacing w:after="0" w:line="248" w:lineRule="auto"/>
        <w:rPr>
          <w:sz w:val="20"/>
          <w:szCs w:val="20"/>
          <w:color w:val="auto"/>
        </w:rPr>
      </w:pPr>
      <w:r>
        <w:rPr>
          <w:rFonts w:ascii="Arial" w:cs="Arial" w:eastAsia="Arial" w:hAnsi="Arial"/>
          <w:sz w:val="14"/>
          <w:szCs w:val="14"/>
          <w:color w:val="auto"/>
        </w:rPr>
        <w:t>Prior to December 12, 2019, we held 14.1 million, or approximately 16.4%, of the outstanding common shares of Genworth MI Canada Inc. (“Genworth Canada”), a publicly traded company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88" w:name="page89"/>
    <w:bookmarkEnd w:id="88"/>
    <w:p>
      <w:pPr>
        <w:jc w:val="both"/>
        <w:spacing w:after="0" w:line="248" w:lineRule="auto"/>
        <w:rPr>
          <w:sz w:val="20"/>
          <w:szCs w:val="20"/>
          <w:color w:val="auto"/>
        </w:rPr>
      </w:pPr>
      <w:r>
        <w:rPr>
          <w:rFonts w:ascii="Arial" w:cs="Arial" w:eastAsia="Arial" w:hAnsi="Arial"/>
          <w:sz w:val="14"/>
          <w:szCs w:val="14"/>
          <w:color w:val="auto"/>
        </w:rPr>
        <w:t>Toronto Stock Exchange. We concluded that we had significant influence over Genworth Canada primarily due to board representation, and therefore, classified our investment in Genworth Canada as an equity method investment.</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elected to account for the investment in Genworth Canada under the fair value option because the investment had a readily determinable fair value. Accordingly, the investment was recorded at fair value, and changes in the fair value of the investment for each reporting period were recorded in the consolidated statements of income. The change in fair value of the investment in Genworth Canada, including dividends and the sale of common shares, was $127.4 million in 2019 and was included within change in fair value of unconsolidated affiliate in the consolidated statements of income, net of provision for income taxes of $12.1 million in 2019.</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December 12, 2019, we completed the sale of our investment in Genworth Canada to an affiliate of Brookfield Business Partners L.P. and received approximately $501.8 million in net cash proceeds.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 Variation in cancellation rates and projected losses are inputs into our premium recognition models, causing uncertainty within our estimates.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Unearned premium was $246 million as of December 31, 2021, a decrease of $61 million compared to December 31, 2020. Changes in market conditions could cause a decline in mortgage originations, mortgage insurance penetration rates, persistency and our market share, all of which could impact new insurance written. For example, a decline in primary new insurance written of $1.0 billion would result in a reduction in earned premiums of approximately $4 million in the first full year. Likewise, if primary persistency rates declined on our existing insurance in-force by 10%, earned premiums would decline by approximately $88 million during the first full year, partially offset by higher policy cancellations in our single premium products. These reductions in earned premiums could be potentially offset by lower reserves due to policies no longer being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auto"/>
        </w:rPr>
        <w:t>Trends and Conditions</w:t>
      </w:r>
    </w:p>
    <w:p>
      <w:pPr>
        <w:spacing w:after="0" w:line="142" w:lineRule="exact"/>
        <w:rPr>
          <w:sz w:val="20"/>
          <w:szCs w:val="20"/>
          <w:color w:val="auto"/>
        </w:rPr>
      </w:pPr>
    </w:p>
    <w:p>
      <w:pPr>
        <w:jc w:val="both"/>
        <w:ind w:firstLine="246"/>
        <w:spacing w:after="0" w:line="269" w:lineRule="auto"/>
        <w:rPr>
          <w:sz w:val="20"/>
          <w:szCs w:val="20"/>
          <w:color w:val="auto"/>
        </w:rPr>
      </w:pPr>
      <w:r>
        <w:rPr>
          <w:rFonts w:ascii="Arial" w:cs="Arial" w:eastAsia="Arial" w:hAnsi="Arial"/>
          <w:sz w:val="13"/>
          <w:szCs w:val="13"/>
          <w:color w:val="auto"/>
        </w:rPr>
        <w:t>The United States economy and consumer confidence continued to improve during 2021. The unemployment rate has continued to decrease since the beginning of the pandemic and was 3.9% in December 2021. While this is elevated compared to the pre-pandemic level of 3.5% in February 2020, it has steadily decreased from a peak of 14.8% in April 2020. Even after the continued recovery in 2021, the number of unemployed Americans stands at approximately 6.3 million, which is 0.6 million higher than in February 2020. Among the unemployed, those on temporary layoff continued to decrease to 0.8 million from a peak of 18 million in April 2020, and the number of permanent job losses decreased to approximately 1.7 million. In addition, the number of long term unemployed over 26 weeks has continued to decrease since March 2021, falling to approximately 2.0 million in December 2021.</w:t>
      </w:r>
    </w:p>
    <w:p>
      <w:pPr>
        <w:spacing w:after="0" w:line="106"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Mortgage origination activity remained robust, fueled by strong home sales and refinancing, and home prices continued to climb, increasing our average loan amount on new insurance written to $305 thousand for 2021 from $276 thousand for the year. Interest rates remained low throughout 2021, but they ended the year slightly higher than 2020. Housing affordability declined as of November 2021 compared to one year ago due to rising home prices modestly offset by the low interest rate environment and rising median family income according to the National Association of Realtors Housing Affordability Index, but it remains above a level that a family with a median income can afford a median-priced home.</w:t>
      </w:r>
    </w:p>
    <w:p>
      <w:pPr>
        <w:spacing w:after="0" w:line="10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FHFA and the GSEs are focused on increasing the accessibility and affordability of homeownership, in particular for low- and moderate-income borrowers and underserved minority communities. Among other things, FHFA directed the GSEs to submit Equitable Housing Plans by the end of 2021 to identify and address barriers to sustainable housing opportunities to advance equity in housing finance. Any new practices or programs subsequently implemented under the GSEs’ Equitable Housing Plans or other affordability initiatives may impact the fees, underwriting and servicing standards on mortgage loans purchased by the GSEs.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January 2022, the FHFA introduced new upfront fees for some high-balance and second-home loans sold to Fannie Mae and Freddie Mac. Upfront fees for high balance loans will increase between 0.25% and 0.75%, tiered by loan-to-value ratio. For second home loans, the upfront fees will increase between 1.125% and 3.875%, also tiered by loan-to-value ratio. The new pricing framework will take effect April 1, 2022. We do not anticipate this will significantly impact the mortgage insurance market or our growth projections.</w:t>
      </w:r>
    </w:p>
    <w:p>
      <w:pPr>
        <w:spacing w:after="0" w:line="120" w:lineRule="exact"/>
        <w:rPr>
          <w:sz w:val="20"/>
          <w:szCs w:val="20"/>
          <w:color w:val="auto"/>
        </w:rPr>
      </w:pPr>
    </w:p>
    <w:p>
      <w:pPr>
        <w:jc w:val="both"/>
        <w:ind w:firstLine="246"/>
        <w:spacing w:after="0" w:line="266" w:lineRule="auto"/>
        <w:rPr>
          <w:sz w:val="20"/>
          <w:szCs w:val="20"/>
          <w:color w:val="auto"/>
        </w:rPr>
      </w:pPr>
      <w:r>
        <w:rPr>
          <w:rFonts w:ascii="Arial" w:cs="Arial" w:eastAsia="Arial" w:hAnsi="Arial"/>
          <w:sz w:val="13"/>
          <w:szCs w:val="13"/>
          <w:color w:val="auto"/>
        </w:rPr>
        <w:t>The Coronavirus Aid, Relief, and Economic Security (“CARES”) Act requires mortgage servicers to provide up to 180 days of forbearance for borrowers with a federally backed mortgage loan who assert they have experienced a financial hardship related to COVID-19. Forbearance may be extended for an additional 180 days up to a year in total or shortened at the request of the borrower. In addition, on February 25, 2021, the FHFA announced that borrowers with a mortgage backed by the GSEs who are in an active COVID-19 forbearance plan as of February 28, 2021, may request up to two additional forbearance extensions for a maximum of 18 months of total forbearance relief.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Servicer reported forbearance slowed meaningfully beginning in June 2020 and ended 2021 with approximately 2.3% or 21,899 of our active primary policies reported in a forbearance plan, of which approximately 47% were reported as delinquent. It is difficult to predict the future level of reported forbearance and how many of the policies in a forbearance plan that remain current on their monthly mortgage payment will go delinquent.</w:t>
      </w:r>
    </w:p>
    <w:p>
      <w:pPr>
        <w:spacing w:after="0" w:line="11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foreclosure moratorium for mortgages that are purchased by the GSEs expired on July 31, 2021. However, on June 28, 2021 the Consumer Financial Protection Bureau (“CFPB”) issued a final rule to amend Regulation X of the Real Estate Settlement Procedures Act effective August 31, 2021, to assist mortgage borrowers affected by the COVID-19 emergency. The final rule establishes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90" w:name="page91"/>
    <w:bookmarkEnd w:id="90"/>
    <w:p>
      <w:pPr>
        <w:jc w:val="both"/>
        <w:spacing w:after="0" w:line="274" w:lineRule="auto"/>
        <w:rPr>
          <w:sz w:val="20"/>
          <w:szCs w:val="20"/>
          <w:color w:val="auto"/>
        </w:rPr>
      </w:pPr>
      <w:r>
        <w:rPr>
          <w:rFonts w:ascii="Arial" w:cs="Arial" w:eastAsia="Arial" w:hAnsi="Arial"/>
          <w:sz w:val="13"/>
          <w:szCs w:val="13"/>
          <w:color w:val="auto"/>
        </w:rPr>
        <w:t>procedural changes that require a loss mitigation review prior to a servicer’s first notice or foreclosure filing on certain mortgages. On June 29, 2021, the FHFA announced that servicers were immediately prohibited from making a first notice or foreclosure filing for mortgages backed by the GSEs before they were formally prohibited by the CFPB Regulation X Final Rule that took effect on August 31, 2021. These announcements generally prohibited servicers from starting foreclosures on mortgages purchased by the GSEs until after December 31, 2021.</w:t>
      </w:r>
    </w:p>
    <w:p>
      <w:pPr>
        <w:spacing w:after="0" w:line="103"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pandemic continued to affect our financial results in 2021 but to a lesser extent than in 2020 as we experienced elevated, but declining, servicer reported forbearance. New delinquencies decreased during 2021, and the annual new delinquency rate of 3.5% in 2021 was consistent with pre-pandemic levels.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Despite continued economic recovery through 2021, the full impact of COVID-19 and its ancillary economic effects on our future business results are difficult to predict. Given the maximum length of forbearance plans, the resolution of a delinquency in a plan may not be known for several quarters. While we continue to monitor regulatory and government actions and the resolution of forbearance delinquencies, it is possible the pandemic could have a significant adverse impact on our future results of operations and financial condition.</w:t>
      </w:r>
    </w:p>
    <w:p>
      <w:pPr>
        <w:spacing w:after="0" w:line="120"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Private mortgage insurance market penetration (“market penetration”) and eventual market size are affected in part by actions that impact housing or housing finance policy taken by the GSEs and the U.S. government, including but not limited to, the Federal Housing Administration (“FHA”) and the FHFA. In the past, these actions have included announced changes, or potential changes, to underwriting standards, including changes to the GSEs’ automated underwriting systems, FHA pricing, GSE guaranty fees, loan limits and alternative products. On December 17, 2020, the FHFA published the Enterprise Capital Framework, which includes significantly higher regulatory capital requirements for the GSEs over current requirements. However, on September 15, 2021, the FHFA announced a Notice of Proposed Rulemaking to amend the Enterprise Capital Framework, including technical corrections to provisions that were published on December 17, 2020. Higher GSE capital requirements could ultimately lead to increased costs to borrowers of GSE loans, which in turn could shift the market away from the GSEs to the FHA or lender portfolios. Such a shift could result in a smaller market for private mortgage insurance. In conjunction with preparing to release the GSEs from conservatorship, on January 14, 2021, the FHFA and the Treasury Department agreed to amend the Preferred Stock Purchase Agreements (“PSPAs”) between the Treasury Department and each of the GSEs to increase the amount of capital each GSE may retain. Among other things, the amendments to the PSPAs limit the number of certain mortgages the GSEs may acquire with two or more prescribed risk factors, including certain mortgages with combined loan-to-value (“LTV”) ratios above 90%. However, on September 14, 2021, the FHFA and Treasury Department suspended certain provisions of the amendments to the PSPAs, including the limit on the number of mortgages with two or more risk factors that the GSEs may acquire. Such suspensions terminate on the later of one year after September 14, 2021, or six months after the Treasury Department notifies the GSEs of termination. The limit on the number of mortgages with two or more risk factors was based on the market size at the time, and we do not expect any material impact to the private mortgage market in the near term.</w:t>
      </w:r>
    </w:p>
    <w:p>
      <w:pPr>
        <w:spacing w:after="0" w:line="11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CFPB’s Qualified Mortgage (“QM”) regulations also include a temporary category (the “QM Patch”) for mortgages that comply with certain prohibitions and limitations and meet the GSE underwriting and product guidelines. Mortgages that meet certain requirements are deemed to be QMs until the earlier of the time in which the GSEs exit the FHFA conservatorship or the mandatory compliance date of the final amendments to the CFPB rule defining what constitutes a QM (the “QM Rule”). On April 27, 2021, the CFPB promulgated a final rule delaying the mandatory compliance date of the amended QM Rule until October 1, 2022. As provided under the final rule, the prior 43% debt-to-income-based QM Rule definition, the new price-based average prime offer rate (“APOR”) definition and the QM Patch will all remain available to lenders for loan applications received prior to October 1, 2022. However, on April 8, 2021, the GSEs issued notices stating that due to the requirements of the PSPAs they would only acquire loans that meet the new price-based APOR definition set forth under the amended QM Rule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1" w:name="page92"/>
    <w:bookmarkEnd w:id="91"/>
    <w:p>
      <w:pPr>
        <w:jc w:val="both"/>
        <w:spacing w:after="0" w:line="245" w:lineRule="auto"/>
        <w:rPr>
          <w:sz w:val="20"/>
          <w:szCs w:val="20"/>
          <w:color w:val="auto"/>
        </w:rPr>
      </w:pPr>
      <w:r>
        <w:rPr>
          <w:rFonts w:ascii="Arial" w:cs="Arial" w:eastAsia="Arial" w:hAnsi="Arial"/>
          <w:sz w:val="14"/>
          <w:szCs w:val="14"/>
          <w:color w:val="auto"/>
        </w:rPr>
        <w:t>applications received on or after July 1, 2021. We believe that loans which previously qualified under the 43% Debt-to-Income (“DTI”) based QM Rule definition and the QM Patch will continue to qualify under the new price-based APOR definition, and therefore, we expect little impact from this change. For more information about the potential future impact, see “Item 1A. Risk Factors—Risks Relating to Our Business—Changes to the charters or practices of the GSEs, including actions or decisions to decrease or discontinue the use of mortgage insurance, could adversely affect our business, results of operations and financial condition” and “Item 1A. Risk Factors—Risks Relating to Our Business—The amount of mortgage insurance we write could decline significantly if alternatives to private mortgage insurance are used or lower coverage levels of mortgage insurance are selected”.</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New insurance written of $97.0 billion in 2021 decreased 3% compared to 2020 primarily due to lower estimated private mortgage insurance market in the current year. The year-over-year decrease in estimated private mortgage insurance available market was primarily driven by lower refinance originations.</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primary persistency increased to 62% during 2021 compared to 59% during 2020 but remained below historic levels of approximately 80%. The increase in persistency was primarily driven by a decline in the percentage of our in-force policies with mortgage rates above current mortgage rates. Low persistency has impacted business performance trends in several ways including, but not limited to, offsetting insurance in-force growth from new insurance written, accelerating the recognition of earned premiums due to single premium policy cancellations, accelerating the amortization of our existing reinsurance transactions reducing their associated Private Mortgage Insurer Eligibility Requirements (“PMIERs”) capital credit and shifting the concentration of our primary IIF to more recent years of policy origination. As of December 31, 2021, our primary insurance in-force has approximately 5% concentration in 2014 and prior book years. More specifically, our 2005 through 2008 book year concentration is approximately 3%. In contrast, our 2020 book year represents 31% of our primary insurance in-force concentration while our 2021 book year is 40% as of December 31, 2021.</w:t>
      </w:r>
    </w:p>
    <w:p>
      <w:pPr>
        <w:spacing w:after="0" w:line="122"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3"/>
          <w:szCs w:val="13"/>
          <w:color w:val="auto"/>
        </w:rPr>
        <w:t>The U.S. private mortgage insurance industry is highly competitive. Our market share is influenced by the execution of our go to market strategy, including but not limited to, pricing competitiveness relative to our peers and our selective participation in forward commitment transactions. Since our IPO, we have held discussions with customers that in recent years, have not sent us new business. During the fourth quarter of 2021, we reactivated our relationship with a key customer, and we continued to deepen existing relationships and develop new ones. We continue to manage the quality of new business through pricing and our underwriting guidelines, which are modified from time to time when circumstances warrant. We see the market and underwriting conditions, including the pricing environment, as being well within our risk adjusted return appetite enabling us to write new business at attractive returns. Ultimately, we expect our new insurance written with its strong credit profile and attractive pricing to positively contribute to our future profitability and return on equity.</w:t>
      </w:r>
    </w:p>
    <w:p>
      <w:pPr>
        <w:spacing w:after="0" w:line="10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Net earned premiums increased in 2021 compared to 2020 primarily from insurance in force growth, partially offset by the continued lapse of older, higher priced policies, a decrease in single premium cancellations and higher ceded premiums as the use of credit risk transfer increased in 2021. The total number of delinquent loans has declined from the COVID-19 peak in the second quarter of 2020 but remains elevated compared to pre-COVID-19 levels. During this time and consistent with prior years, servicers continued the practice of remitting premiums during the early stages of default. Additionally, we have a business practice of refunding the post-delinquent premiums to the insured party if the delinquent loan goes to claim. We record a liability and a reduction to net earned premiums for the post-delinquent premiums we expect to refund. The post-delinquent premium liability recorded since the beginning of COVID-19 in the second quarter of 2020 through 2021 was not significant to the change in earned premiums for those periods as a result of the high concentration of new delinquencies being subject to a servicer reported forbearance plan and the lower estimated rate at which delinquencies go to claim (“claim rate”) for these loans. As a result of COVID-19, certain state insurance regulators required or requested the provision of grace periods of varying lengths to insureds in the event of non-payment of premium. Regulators differed greatly in their approaches but generally focused on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2" w:name="page93"/>
    <w:bookmarkEnd w:id="92"/>
    <w:p>
      <w:pPr>
        <w:jc w:val="both"/>
        <w:spacing w:after="0" w:line="246" w:lineRule="auto"/>
        <w:rPr>
          <w:sz w:val="20"/>
          <w:szCs w:val="20"/>
          <w:color w:val="auto"/>
        </w:rPr>
      </w:pPr>
      <w:r>
        <w:rPr>
          <w:rFonts w:ascii="Arial" w:cs="Arial" w:eastAsia="Arial" w:hAnsi="Arial"/>
          <w:sz w:val="14"/>
          <w:szCs w:val="14"/>
          <w:color w:val="auto"/>
        </w:rPr>
        <w:t>cancellation of coverage for non-payment. While most of these requirements and requests have lapsed, it is possible that some or all of them could be re-issued in the event of declarations of new states of emergency that might result from worsening pandemic conditions. We currently comply with all state regulatory requirements. If timely payment is not made, future premiums could decrease and the certificate of insurance could be subject to cancellation after 60 days, or such longer time as required under applicable law.</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loss reserves continue to be impacted by COVID-19. Borrowers who have experienced a financial hardship including, but not limited to, the loss of income due to the closing of a business or the loss of a job, have taken advantage of available forbearance programs and payment deferral options. During the peak of the pandemic, we experienced elevated new delinquencies subject to forbearance plans which may ultimately cure at a higher rate than traditional delinquencies. Unlike a hurricane where the natural disaster occurs at a point in time and the rebuild starts soon after, COVID-19 brought ongoing displacement to the mortgage insurance market, making it more difficult to determine the effectiveness of forbearance and the resulting claim rates for new delinquencies in forbearance plans. Given this difference, we initially leveraged our prior hurricane experience and have recently layered in cure activity from COVID-19 related delinquencies as considerations in the establishment of an appropriate claim rate estimate for new delinquencies in forbearance plans that have emerged as a result of COVID-19. Approximately 42% of our primary new delinquencies in 2021 were subject to a forbearance plan as compared to 66% in 2020 and less than 5% in recent quarters prior to COVID-19.</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severity of loss on loans that do go to claim may be negatively impacted by the extended forbearance timeline, the associated elevated expenses and the higher loan amount of the recent new delinquencies. These negative influences on loss severity could be mitigated, in part, by further home price appreciation. For loans insured on or after October 1, 2014, our mortgage insurance policies limit the number of months of unpaid interest and associated expenses that are included in the mortgage insurance claim amount to a maximum of 36 months.</w:t>
      </w:r>
    </w:p>
    <w:p>
      <w:pPr>
        <w:spacing w:after="0" w:line="120" w:lineRule="exact"/>
        <w:rPr>
          <w:sz w:val="20"/>
          <w:szCs w:val="20"/>
          <w:color w:val="auto"/>
        </w:rPr>
      </w:pPr>
    </w:p>
    <w:p>
      <w:pPr>
        <w:jc w:val="both"/>
        <w:ind w:firstLine="246"/>
        <w:spacing w:after="0" w:line="269" w:lineRule="auto"/>
        <w:rPr>
          <w:sz w:val="20"/>
          <w:szCs w:val="20"/>
          <w:color w:val="auto"/>
        </w:rPr>
      </w:pPr>
      <w:r>
        <w:rPr>
          <w:rFonts w:ascii="Arial" w:cs="Arial" w:eastAsia="Arial" w:hAnsi="Arial"/>
          <w:sz w:val="13"/>
          <w:szCs w:val="13"/>
          <w:color w:val="auto"/>
        </w:rPr>
        <w:t>Our loss ratio for the year ended December 31, 2021, was 13% as compared to 39% for the year ended December 31, 2020. The decrease was largely from lower new delinquencies from the improving economy and net favorable reserve adjustments related to pre-COVID-19 delinquencies in 2021 compared to reserve strengthening in 2020. New primary delinquencies were 32,624 in 2021 compared 85,074 in 2020. We recorded $65 million of reserve strengthening in 2020 primarily driven by the deterioration of early cure emergence patterns impacting claim frequency along with a modest increase in claim severity while releasing reserves of $22 million in 2021. In determining the loss expense estimate during 2021, considerations were given to forbearance and non-forbearance delinquencies, recent cure and claim experience and the ongoing economic impact due to the pandemic.</w:t>
      </w:r>
    </w:p>
    <w:p>
      <w:pPr>
        <w:spacing w:after="0" w:line="10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GMICO’s risk-to-capital ratio under the current regulatory framework as established under North Carolina law and enforced by the NCDOI, GMICO’s domestic insurance regulator, was approximately 12.3 as of December 31, 2021 and 2020. GMICO’s risk-to-capital ratio remains below the NCDOI’s maximum risk-to-capital ratio of 25:1. North Carolina’s calculation of risk-to-capital excludes the risk-in-force for delinquent loans given the established loss reserves against all delinquencies. GMICO’s ongoing risk-to-capital ratio will depend principally on the magnitude of future losses incurred by GMICO, the effectiveness of ongoing loss mitigation activities, new business volume and profitability, the amount of policy lapses and the amount of additional capital that is generated or distributed by the business or capital support provided.</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Under PMIERs, we are subject to operational and financial requirements that private mortgage insurers must meet in order to remain eligible to insure loans that are purchased by the GSEs. During 2020, the GSEs issued several amendments to PMIERs. The December 4, 2020, version extended the application of reduced PMIERs capital factors to each non-performing loan that had an initial missed monthly payment occurring on or after March 1, 2020 and prior to April 1, 2021, and extended the capital preservation period from March 31, 2021, to June 30, 2021. On June 30, 2021, the GSEs issued a revised and restated version of the PMIERs Amendment that replaced the version issued on December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3" w:name="page94"/>
    <w:bookmarkEnd w:id="93"/>
    <w:p>
      <w:pPr>
        <w:jc w:val="both"/>
        <w:spacing w:after="0" w:line="246" w:lineRule="auto"/>
        <w:rPr>
          <w:sz w:val="20"/>
          <w:szCs w:val="20"/>
          <w:color w:val="auto"/>
        </w:rPr>
      </w:pPr>
      <w:r>
        <w:rPr>
          <w:rFonts w:ascii="Arial" w:cs="Arial" w:eastAsia="Arial" w:hAnsi="Arial"/>
          <w:sz w:val="14"/>
          <w:szCs w:val="14"/>
          <w:color w:val="auto"/>
        </w:rPr>
        <w:t>2020. The June 30, 2021, version allows loans that enter a forbearance plan due to a COVID-19 hardship on or after April 1, 2021, to remain eligible for extended application of the reduced PMIERs capital factor for as long as the loan remained in forbearance. The June 30, 2021, version also extended the capital preservation period through December 31, 2021, with certain exceptions, as described below.</w:t>
      </w:r>
    </w:p>
    <w:p>
      <w:pPr>
        <w:spacing w:after="0" w:line="120" w:lineRule="exact"/>
        <w:rPr>
          <w:sz w:val="20"/>
          <w:szCs w:val="20"/>
          <w:color w:val="auto"/>
        </w:rPr>
      </w:pPr>
    </w:p>
    <w:p>
      <w:pPr>
        <w:jc w:val="both"/>
        <w:ind w:firstLine="246"/>
        <w:spacing w:after="0" w:line="265" w:lineRule="auto"/>
        <w:rPr>
          <w:sz w:val="20"/>
          <w:szCs w:val="20"/>
          <w:color w:val="auto"/>
        </w:rPr>
      </w:pPr>
      <w:r>
        <w:rPr>
          <w:rFonts w:ascii="Arial" w:cs="Arial" w:eastAsia="Arial" w:hAnsi="Arial"/>
          <w:sz w:val="13"/>
          <w:szCs w:val="13"/>
          <w:color w:val="auto"/>
        </w:rPr>
        <w:t>The PMIERs Amendment implemented both permanent and temporary revisions to PMIERs. For loans that became non-performing due to a COVID-19 hardship, PMIERs was temporarily amended with respect to each non-performing loan that (i) had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imposed temporary capital preservation provisions through December 31, 2021, that require an approved insurer to meet certain PMIERs minimum required assets buffers (150% in the third quarter of 2021 and 115% in the fourth quarter of 2021) or otherwise obtain prior written GSE approval before paying any dividends, pledging or transferring assets to an affiliate or entering into any new, or altering any existing, arrangements under tax sharing and intercompany expense-sharing agreements, even if such insurer had a surplus of available assets. In addition, the PMIERs Amendment imposes permanent revisions to the risk-based required asset amount factor for non-performing loans for properties located in future Federal Emergency Management Agency Declared Major Disaster Areas eligible for individual assistance.</w:t>
      </w:r>
    </w:p>
    <w:p>
      <w:pPr>
        <w:spacing w:after="0" w:line="11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September 2020, subsequent to the issuance of Enact Holdings’ senior notes due in 2025, the GSEs imposed certain restrictions (the “GSE Restrictions”) with respect to capital on our business. In May 2021, in connection with their conditional approval of the then potential partial sale of Enact Holdings, the GSEs confirmed the GSE Restrictions will remain in effect until the following collective conditions (“GSE Conditions”) are met: (a) GMICO obtains “BBB+”/“Baa1” (or higher) rating from S&amp;P, Moody’s or Fitch Ratings, Inc. for two consecutive quarters and (b) Genworth achieves certain financial metrics. Prior to the satisfaction of the GSE Conditions, the GSE Restrictions require:</w:t>
      </w:r>
    </w:p>
    <w:p>
      <w:pPr>
        <w:spacing w:after="0" w:line="120" w:lineRule="exact"/>
        <w:rPr>
          <w:sz w:val="20"/>
          <w:szCs w:val="20"/>
          <w:color w:val="auto"/>
        </w:rPr>
      </w:pPr>
    </w:p>
    <w:p>
      <w:pPr>
        <w:ind w:left="500" w:hanging="25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GMICO to maintain 115% of PMIERs minimum required assets through 2021, 120% during 2022 and 125% thereafter;</w:t>
      </w:r>
    </w:p>
    <w:p>
      <w:pPr>
        <w:spacing w:after="0" w:line="126"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Enact Holdings to retain $300 million of net proceeds from the 2025 Senior Notes offering that can be drawn down exclusively for debt service of those notes or to contribute to GMICO to meet its regulatory capital needs including PMIERs; and</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written approval must be received from the GSEs prior to any additional debt issuance by either GMICO or Enact Holdings.</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Until the GSE Conditions imposed in connection with the GSE Restrictions are met, Enact Holdings’ liquidity must not fall below 13.5% of its outstanding debt. In addition, Fannie Mae agreed to reconsider the GSE Restrictions if Genworth were to own 50% or less of Enact Holdings at any point prior to their expiration. We understand that Genworth’s current plans do not include a potential sale in which Genworth owns less than 80% of Enact Holdings. The current balance of the 2025 Senior Notes proceeds required to be held by our holding company is approximately $252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4" w:name="page95"/>
    <w:bookmarkEnd w:id="94"/>
    <w:p>
      <w:pPr>
        <w:jc w:val="both"/>
        <w:ind w:firstLine="246"/>
        <w:spacing w:after="0" w:line="245" w:lineRule="auto"/>
        <w:rPr>
          <w:sz w:val="20"/>
          <w:szCs w:val="20"/>
          <w:color w:val="auto"/>
        </w:rPr>
      </w:pPr>
      <w:r>
        <w:rPr>
          <w:rFonts w:ascii="Arial" w:cs="Arial" w:eastAsia="Arial" w:hAnsi="Arial"/>
          <w:sz w:val="14"/>
          <w:szCs w:val="14"/>
          <w:color w:val="auto"/>
        </w:rPr>
        <w:t>As of December 31, 2021, we had estimated available assets of $5,077 million against $3,074 million net required assets under PMIERs compared to available assets of $4,588 million against $3,359 million net required assets as of December 31, 2020. The sufficiency ratio as of December 31, 2021, was 165% or $2,003 million above the published PMIERs requirements, compared to 137% or $1,229 million above the published PMIERs requirements as of December 31, 2020. PMIERs sufficiency is based on the published requirements applicable to private mortgage insurers and does not give effect to the GSE Restrictions imposed on our business. The increase in the PMIERs sufficiency was driven by CRT transactions. During 2021, we executed a series of credit risk transfer transactions including a series of MILNs and an XOL treaty. Credit risk transfer transactions provided an aggregate of approximately $1,404 million of PMIERS capital credit as of December 31, 2021 compared to $936 million as of December 2020. This was coupled with elevated lapse driven by prevailing low interest rates, business cash flows and lower delinquencies, partially offset by elevated new insurance written. Our PMIERs required assets as of December 31, 2021, benefited from the application of a 0.30 multiplier applied to the risk-based required asset amount factor for certain non-performing loans. The application of the 0.30 multiplier to all eligible delinquencies provided $390 million of benefit to our December 31, 2021, PMIERs required assets. This amount is gross of any incremental reinsurance benefit from the elimination of the 0.30 multiplier.</w:t>
      </w:r>
    </w:p>
    <w:p>
      <w:pPr>
        <w:spacing w:after="0" w:line="121"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January 27, 2022, we executed an excess of loss reinsurance transaction with a panel of reinsurers, which will provide up to $294 million of reinsurance coverage on a portion of current and expected new insurance written for the 2022 book year, effective January 1, 2022.</w:t>
      </w:r>
    </w:p>
    <w:p>
      <w:pPr>
        <w:spacing w:after="0" w:line="119"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EHI announced and paid a dividend of $200 million during the fourth quarter of 2021. We believe this was an important milestone as we work to restart the return of capital to stockholders. We are in the process of evaluating our capital return objectives for 2022 which includes an assessment of holding company liquidity and financial flexibility. We expect a component of our capital return plan to include the initiation of a regular, common dividend to Company stockholders around mid-year 2022. In addition to this dividend, we will continue to evaluate the potential for an incremental return of capital based on our ongoing business performance and a review of the macroeconomic conditions and regulatory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Results of Operations and Key Metrics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Year Ended December 31, 2021 Compared to Year Ended December 31, 2020</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our consolidated results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gridSpan w:val="3"/>
            <w:vMerge w:val="restart"/>
          </w:tcPr>
          <w:p>
            <w:pPr>
              <w:jc w:val="right"/>
              <w:ind w:right="172"/>
              <w:spacing w:after="0"/>
              <w:rPr>
                <w:sz w:val="20"/>
                <w:szCs w:val="20"/>
                <w:color w:val="auto"/>
              </w:rPr>
            </w:pPr>
            <w:r>
              <w:rPr>
                <w:rFonts w:ascii="Arial" w:cs="Arial" w:eastAsia="Arial" w:hAnsi="Arial"/>
                <w:sz w:val="11"/>
                <w:szCs w:val="11"/>
                <w:b w:val="1"/>
                <w:bCs w:val="1"/>
                <w:color w:val="auto"/>
              </w:rPr>
              <w:t>Year ended</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980" w:type="dxa"/>
            <w:vAlign w:val="bottom"/>
            <w:gridSpan w:val="2"/>
          </w:tcPr>
          <w:p>
            <w:pPr>
              <w:jc w:val="center"/>
              <w:ind w:left="175"/>
              <w:spacing w:after="0"/>
              <w:rPr>
                <w:sz w:val="20"/>
                <w:szCs w:val="20"/>
                <w:color w:val="auto"/>
              </w:rPr>
            </w:pPr>
            <w:r>
              <w:rPr>
                <w:rFonts w:ascii="Arial" w:cs="Arial" w:eastAsia="Arial" w:hAnsi="Arial"/>
                <w:sz w:val="11"/>
                <w:szCs w:val="11"/>
                <w:b w:val="1"/>
                <w:bCs w:val="1"/>
                <w:color w:val="auto"/>
                <w:w w:val="99"/>
              </w:rPr>
              <w:t>Increase (decrease)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80" w:type="dxa"/>
            <w:vAlign w:val="bottom"/>
            <w:gridSpan w:val="2"/>
          </w:tcPr>
          <w:p>
            <w:pPr>
              <w:jc w:val="center"/>
              <w:ind w:left="195"/>
              <w:spacing w:after="0" w:line="103" w:lineRule="exact"/>
              <w:rPr>
                <w:sz w:val="20"/>
                <w:szCs w:val="20"/>
                <w:color w:val="auto"/>
              </w:rPr>
            </w:pPr>
            <w:r>
              <w:rPr>
                <w:rFonts w:ascii="Arial" w:cs="Arial" w:eastAsia="Arial" w:hAnsi="Arial"/>
                <w:sz w:val="11"/>
                <w:szCs w:val="11"/>
                <w:b w:val="1"/>
                <w:bCs w:val="1"/>
                <w:color w:val="auto"/>
                <w:w w:val="98"/>
              </w:rPr>
              <w:t>and percentage</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1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1"/>
                <w:szCs w:val="11"/>
                <w:b w:val="1"/>
                <w:bCs w:val="1"/>
                <w:color w:val="auto"/>
                <w:w w:val="98"/>
              </w:rPr>
              <w:t>change</w:t>
            </w: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1"/>
                <w:szCs w:val="11"/>
                <w:b w:val="1"/>
                <w:bCs w:val="1"/>
                <w:color w:val="auto"/>
                <w:w w:val="99"/>
              </w:rPr>
              <w:t>2021 vs. 2020</w:t>
            </w: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tcPr>
          <w:p>
            <w:pPr>
              <w:ind w:left="20"/>
              <w:spacing w:after="0"/>
              <w:rPr>
                <w:sz w:val="20"/>
                <w:szCs w:val="20"/>
                <w:color w:val="auto"/>
              </w:rPr>
            </w:pPr>
            <w:r>
              <w:rPr>
                <w:rFonts w:ascii="Arial" w:cs="Arial" w:eastAsia="Arial" w:hAnsi="Arial"/>
                <w:sz w:val="14"/>
                <w:szCs w:val="14"/>
                <w:color w:val="auto"/>
              </w:rPr>
              <w:t>Premiums</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974,949</w:t>
            </w:r>
          </w:p>
        </w:tc>
        <w:tc>
          <w:tcPr>
            <w:tcW w:w="80" w:type="dxa"/>
            <w:vAlign w:val="bottom"/>
          </w:tcPr>
          <w:p>
            <w:pPr>
              <w:spacing w:after="0"/>
              <w:rPr>
                <w:sz w:val="15"/>
                <w:szCs w:val="15"/>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971,365</w:t>
            </w:r>
          </w:p>
        </w:tc>
        <w:tc>
          <w:tcPr>
            <w:tcW w:w="80" w:type="dxa"/>
            <w:vAlign w:val="bottom"/>
          </w:tcPr>
          <w:p>
            <w:pPr>
              <w:spacing w:after="0"/>
              <w:rPr>
                <w:sz w:val="15"/>
                <w:szCs w:val="15"/>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3,584</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141,189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132,843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74"/>
        </w:trPr>
        <w:tc>
          <w:tcPr>
            <w:tcW w:w="4620" w:type="dxa"/>
            <w:vAlign w:val="bottom"/>
          </w:tcPr>
          <w:p>
            <w:pPr>
              <w:ind w:left="20"/>
              <w:spacing w:after="0"/>
              <w:rPr>
                <w:sz w:val="20"/>
                <w:szCs w:val="20"/>
                <w:color w:val="auto"/>
              </w:rPr>
            </w:pPr>
            <w:r>
              <w:rPr>
                <w:rFonts w:ascii="Arial" w:cs="Arial" w:eastAsia="Arial" w:hAnsi="Arial"/>
                <w:sz w:val="14"/>
                <w:szCs w:val="14"/>
                <w:color w:val="auto"/>
              </w:rPr>
              <w:t>Net investment gains (losses)</w:t>
            </w:r>
          </w:p>
        </w:tc>
        <w:tc>
          <w:tcPr>
            <w:tcW w:w="400" w:type="dxa"/>
            <w:vAlign w:val="bottom"/>
          </w:tcPr>
          <w:p>
            <w:pPr>
              <w:spacing w:after="0"/>
              <w:rPr>
                <w:sz w:val="15"/>
                <w:szCs w:val="15"/>
                <w:color w:val="auto"/>
              </w:rPr>
            </w:pPr>
          </w:p>
        </w:tc>
        <w:tc>
          <w:tcPr>
            <w:tcW w:w="1240" w:type="dxa"/>
            <w:vAlign w:val="bottom"/>
          </w:tcPr>
          <w:p>
            <w:pPr>
              <w:jc w:val="right"/>
              <w:ind w:right="74"/>
              <w:spacing w:after="0"/>
              <w:rPr>
                <w:sz w:val="20"/>
                <w:szCs w:val="20"/>
                <w:color w:val="auto"/>
              </w:rPr>
            </w:pPr>
            <w:r>
              <w:rPr>
                <w:rFonts w:ascii="Arial" w:cs="Arial" w:eastAsia="Arial" w:hAnsi="Arial"/>
                <w:sz w:val="14"/>
                <w:szCs w:val="14"/>
                <w:color w:val="auto"/>
              </w:rPr>
              <w:t>(2,124)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(3,324)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1,200</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3,841</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5,575</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5"/>
        </w:trPr>
        <w:tc>
          <w:tcPr>
            <w:tcW w:w="46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1,117,855</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1,106,459</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11,396</w:t>
            </w:r>
          </w:p>
        </w:tc>
        <w:tc>
          <w:tcPr>
            <w:tcW w:w="9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Losses and expenses:</w:t>
            </w: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20" w:type="dxa"/>
            <w:vAlign w:val="bottom"/>
          </w:tcPr>
          <w:p>
            <w:pPr>
              <w:ind w:left="20"/>
              <w:spacing w:after="0"/>
              <w:rPr>
                <w:sz w:val="20"/>
                <w:szCs w:val="20"/>
                <w:color w:val="auto"/>
              </w:rPr>
            </w:pPr>
            <w:r>
              <w:rPr>
                <w:rFonts w:ascii="Arial" w:cs="Arial" w:eastAsia="Arial" w:hAnsi="Arial"/>
                <w:sz w:val="14"/>
                <w:szCs w:val="14"/>
                <w:color w:val="auto"/>
              </w:rPr>
              <w:t>Losses incurred</w:t>
            </w:r>
          </w:p>
        </w:tc>
        <w:tc>
          <w:tcPr>
            <w:tcW w:w="400" w:type="dxa"/>
            <w:vAlign w:val="bottom"/>
          </w:tcPr>
          <w:p>
            <w:pPr>
              <w:spacing w:after="0"/>
              <w:rPr>
                <w:sz w:val="15"/>
                <w:szCs w:val="15"/>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125,473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379,834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(254,361)</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operating expenses, net of deferrals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231,453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215,024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16,429</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4"/>
        </w:trPr>
        <w:tc>
          <w:tcPr>
            <w:tcW w:w="4620" w:type="dxa"/>
            <w:vAlign w:val="bottom"/>
          </w:tcPr>
          <w:p>
            <w:pPr>
              <w:ind w:left="20"/>
              <w:spacing w:after="0"/>
              <w:rPr>
                <w:sz w:val="20"/>
                <w:szCs w:val="20"/>
                <w:color w:val="auto"/>
              </w:rPr>
            </w:pPr>
            <w:r>
              <w:rPr>
                <w:rFonts w:ascii="Arial" w:cs="Arial" w:eastAsia="Arial" w:hAnsi="Arial"/>
                <w:sz w:val="14"/>
                <w:szCs w:val="14"/>
                <w:color w:val="auto"/>
              </w:rPr>
              <w:t>Amortization of deferred acquisition costs and intangibles</w:t>
            </w:r>
          </w:p>
        </w:tc>
        <w:tc>
          <w:tcPr>
            <w:tcW w:w="400" w:type="dxa"/>
            <w:vAlign w:val="bottom"/>
          </w:tcPr>
          <w:p>
            <w:pPr>
              <w:spacing w:after="0"/>
              <w:rPr>
                <w:sz w:val="15"/>
                <w:szCs w:val="15"/>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14,704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20,939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(6,235)</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51,009</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18,244</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32,765</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165"/>
        </w:trPr>
        <w:tc>
          <w:tcPr>
            <w:tcW w:w="4620" w:type="dxa"/>
            <w:vAlign w:val="bottom"/>
          </w:tcPr>
          <w:p>
            <w:pPr>
              <w:ind w:left="20"/>
              <w:spacing w:after="0" w:line="153" w:lineRule="exact"/>
              <w:rPr>
                <w:sz w:val="20"/>
                <w:szCs w:val="20"/>
                <w:color w:val="auto"/>
              </w:rPr>
            </w:pPr>
            <w:r>
              <w:rPr>
                <w:rFonts w:ascii="Arial" w:cs="Arial" w:eastAsia="Arial" w:hAnsi="Arial"/>
                <w:sz w:val="14"/>
                <w:szCs w:val="14"/>
                <w:color w:val="auto"/>
              </w:rPr>
              <w:t>Total losses and expenses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422,639</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634,041</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(211,402)</w:t>
            </w:r>
          </w:p>
        </w:tc>
        <w:tc>
          <w:tcPr>
            <w:tcW w:w="9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2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4"/>
              <w:spacing w:after="0" w:line="155" w:lineRule="exact"/>
              <w:rPr>
                <w:sz w:val="20"/>
                <w:szCs w:val="20"/>
                <w:color w:val="auto"/>
              </w:rPr>
            </w:pPr>
            <w:r>
              <w:rPr>
                <w:rFonts w:ascii="Arial" w:cs="Arial" w:eastAsia="Arial" w:hAnsi="Arial"/>
                <w:sz w:val="14"/>
                <w:szCs w:val="14"/>
                <w:color w:val="auto"/>
              </w:rPr>
              <w:t>695,216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12"/>
              <w:spacing w:after="0" w:line="155" w:lineRule="exact"/>
              <w:rPr>
                <w:sz w:val="20"/>
                <w:szCs w:val="20"/>
                <w:color w:val="auto"/>
              </w:rPr>
            </w:pPr>
            <w:r>
              <w:rPr>
                <w:rFonts w:ascii="Arial" w:cs="Arial" w:eastAsia="Arial" w:hAnsi="Arial"/>
                <w:sz w:val="14"/>
                <w:szCs w:val="14"/>
                <w:color w:val="auto"/>
              </w:rPr>
              <w:t>472,418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222,798</w:t>
            </w: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74"/>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148,531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101,997</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46,534</w:t>
            </w:r>
          </w:p>
        </w:tc>
        <w:tc>
          <w:tcPr>
            <w:tcW w:w="96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546,685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370,421</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176,264</w:t>
            </w:r>
          </w:p>
        </w:tc>
        <w:tc>
          <w:tcPr>
            <w:tcW w:w="9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4"/>
                <w:szCs w:val="14"/>
                <w:color w:val="auto"/>
              </w:rPr>
              <w:t xml:space="preserve">Loss ratio </w:t>
            </w:r>
            <w:r>
              <w:rPr>
                <w:rFonts w:ascii="Arial" w:cs="Arial" w:eastAsia="Arial" w:hAnsi="Arial"/>
                <w:sz w:val="17"/>
                <w:szCs w:val="17"/>
                <w:color w:val="auto"/>
                <w:vertAlign w:val="superscript"/>
              </w:rPr>
              <w:t>(1)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color w:val="auto"/>
              </w:rPr>
              <w:t>13 %</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39 %</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Expense ratio </w:t>
            </w:r>
            <w:r>
              <w:rPr>
                <w:rFonts w:ascii="Arial" w:cs="Arial" w:eastAsia="Arial" w:hAnsi="Arial"/>
                <w:sz w:val="17"/>
                <w:szCs w:val="17"/>
                <w:color w:val="auto"/>
                <w:vertAlign w:val="superscript"/>
              </w:rPr>
              <w:t>(2)</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33" w:lineRule="auto"/>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Loss ratio is calculated by dividing losses incurred by net earned premiums.</w:t>
      </w:r>
    </w:p>
    <w:p>
      <w:pPr>
        <w:ind w:left="240" w:hanging="238"/>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Expense ratio is calculated by dividing acquisition and operating expenses, net of deferrals, plus amortization of DAC and intangibles by net earned premiums.</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Revenues</w:t>
      </w:r>
    </w:p>
    <w:p>
      <w:pPr>
        <w:spacing w:after="0" w:line="140"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Premiums increased mainly attributable to higher IIF partially offset by continued lapse of our in-force portfolio as older, higher priced policies continued to lapse in the current low interest rate environment, lower single premium cancellations and higher ceded premiums from reinsurance transactions executed in 2021.</w:t>
      </w:r>
    </w:p>
    <w:p>
      <w:pPr>
        <w:spacing w:after="0" w:line="119"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Net investment income increased primarily from higher average invested assets in the current year and higher income from bond calls, partially offset by lower investment yields in 2021.</w:t>
      </w:r>
    </w:p>
    <w:p>
      <w:pPr>
        <w:spacing w:after="0" w:line="119"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Net investment losses in the current year were primarily driven by credit losses related to corporate available-for-sale fixed maturity securities and realized losses from the sale of fixed maturity securities. Net investment losses in the prior year were largely from impairments and net losses from the sale of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96" w:name="page97"/>
    <w:bookmarkEnd w:id="96"/>
    <w:p>
      <w:pPr>
        <w:jc w:val="both"/>
        <w:ind w:firstLine="246"/>
        <w:spacing w:after="0" w:line="248" w:lineRule="auto"/>
        <w:rPr>
          <w:sz w:val="20"/>
          <w:szCs w:val="20"/>
          <w:color w:val="auto"/>
        </w:rPr>
      </w:pPr>
      <w:r>
        <w:rPr>
          <w:rFonts w:ascii="Arial" w:cs="Arial" w:eastAsia="Arial" w:hAnsi="Arial"/>
          <w:sz w:val="14"/>
          <w:szCs w:val="14"/>
          <w:color w:val="auto"/>
        </w:rPr>
        <w:t>Other income primarily includes underwriting fee revenue charged on a per-unit or per-diem basis, as defined in the underwriting agreement. Other income decreased primarily due to lower contract underwriting revenue.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Losses and expenses</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Losses incurred decreased largely from lower new delinquencies from the improving economy and favorable development related to pre-COVID-19 claim years, compared to unfavorable reserve adjustments in the prior year as a result of COVID-19. New primary delinquencies were 32,624 in 2021 compared to 85,074 in 2020. During 2021, we recorded a $22 million reserve release related to pre-COVID-19 claim years. In 2020 we strengthened existing reserves by $65 million primarily driven by the deterioration of early cure emergence patterns impacting claim frequency along with a modest increase in claim severity.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shows incurred losses related to current and prior accident years for the year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and LAE incurred related to current accident year</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141,225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364,548</w:t>
            </w: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Losses and LAE incurred related to prior accident years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16,202</w:t>
            </w:r>
          </w:p>
        </w:tc>
      </w:tr>
      <w:tr>
        <w:trPr>
          <w:trHeight w:val="165"/>
        </w:trPr>
        <w:tc>
          <w:tcPr>
            <w:tcW w:w="8040" w:type="dxa"/>
            <w:vAlign w:val="bottom"/>
            <w:shd w:val="clear" w:color="auto" w:fill="CCEEFF"/>
          </w:tcPr>
          <w:p>
            <w:pPr>
              <w:ind w:left="20"/>
              <w:spacing w:after="0" w:line="165" w:lineRule="exact"/>
              <w:rPr>
                <w:sz w:val="20"/>
                <w:szCs w:val="20"/>
                <w:color w:val="auto"/>
              </w:rPr>
            </w:pPr>
            <w:r>
              <w:rPr>
                <w:rFonts w:ascii="Arial" w:cs="Arial" w:eastAsia="Arial" w:hAnsi="Arial"/>
                <w:sz w:val="14"/>
                <w:szCs w:val="14"/>
                <w:color w:val="auto"/>
              </w:rPr>
              <w:t xml:space="preserve">Total incurred </w:t>
            </w:r>
            <w:r>
              <w:rPr>
                <w:rFonts w:ascii="Arial" w:cs="Arial" w:eastAsia="Arial" w:hAnsi="Arial"/>
                <w:sz w:val="17"/>
                <w:szCs w:val="17"/>
                <w:color w:val="auto"/>
                <w:vertAlign w:val="superscript"/>
              </w:rPr>
              <w:t>(1)</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125,403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380,750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tabs>
          <w:tab w:leader="none" w:pos="22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0"/>
          <w:szCs w:val="10"/>
          <w:color w:val="auto"/>
        </w:rPr>
        <w:t>Excludes run-off business.</w:t>
      </w:r>
    </w:p>
    <w:p>
      <w:pPr>
        <w:spacing w:after="0" w:line="11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Acquisition and operating expenses, net of deferrals, increased primarily attributable to strategic transaction preparation costs, higher corporate overhead and a one-time restructuring charge partially offset by lower volume-related operating costs.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DAC and intangibles decreased primarily due to accelerated DAC amortization of $6 million in the prior year driven by elevated lapses.</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expense ratio increased mainly driven by $7 million of strategic transaction preparation costs and a one-time restructuring charge of $3 million, coupled with higher compensation and operating costs. The strategic transaction preparation costs and restructuring costs increased the expense ratio by approximately 1 point.</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 increased in the current year related to our 2025 Senior Notes issued in August 2020. For additional details see Note 7 to our consolidated financial statements.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Provision for income taxes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effective tax rate was 21.4% and 21.6% for the years ended December 31, 2021 and 2020, respectively, consistent with the United States corporate federal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7" w:name="page98"/>
    <w:bookmarkEnd w:id="97"/>
    <w:p>
      <w:pPr>
        <w:ind w:left="240"/>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Year Ended December 31, 2020 Compared to Year Ended December 31, 2019</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our consolidated results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60" w:type="dxa"/>
            <w:vAlign w:val="bottom"/>
            <w:gridSpan w:val="3"/>
            <w:vMerge w:val="restart"/>
          </w:tcPr>
          <w:p>
            <w:pPr>
              <w:jc w:val="right"/>
              <w:ind w:right="192"/>
              <w:spacing w:after="0"/>
              <w:rPr>
                <w:sz w:val="20"/>
                <w:szCs w:val="20"/>
                <w:color w:val="auto"/>
              </w:rPr>
            </w:pPr>
            <w:r>
              <w:rPr>
                <w:rFonts w:ascii="Arial" w:cs="Arial" w:eastAsia="Arial" w:hAnsi="Arial"/>
                <w:sz w:val="11"/>
                <w:szCs w:val="11"/>
                <w:b w:val="1"/>
                <w:bCs w:val="1"/>
                <w:color w:val="auto"/>
              </w:rPr>
              <w:t>Year ended</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99"/>
              </w:rPr>
              <w:t>Increase (decrease)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60" w:type="dxa"/>
            <w:vAlign w:val="bottom"/>
            <w:gridSpan w:val="2"/>
          </w:tcPr>
          <w:p>
            <w:pPr>
              <w:jc w:val="center"/>
              <w:ind w:left="215"/>
              <w:spacing w:after="0" w:line="103" w:lineRule="exact"/>
              <w:rPr>
                <w:sz w:val="20"/>
                <w:szCs w:val="20"/>
                <w:color w:val="auto"/>
              </w:rPr>
            </w:pPr>
            <w:r>
              <w:rPr>
                <w:rFonts w:ascii="Arial" w:cs="Arial" w:eastAsia="Arial" w:hAnsi="Arial"/>
                <w:sz w:val="11"/>
                <w:szCs w:val="11"/>
                <w:b w:val="1"/>
                <w:bCs w:val="1"/>
                <w:color w:val="auto"/>
                <w:w w:val="98"/>
              </w:rPr>
              <w:t>and percentage</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1"/>
                <w:szCs w:val="11"/>
                <w:b w:val="1"/>
                <w:bCs w:val="1"/>
                <w:color w:val="auto"/>
              </w:rPr>
              <w:t>December 31,</w:t>
            </w:r>
          </w:p>
        </w:tc>
        <w:tc>
          <w:tcPr>
            <w:tcW w:w="1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1"/>
                <w:szCs w:val="11"/>
                <w:b w:val="1"/>
                <w:bCs w:val="1"/>
                <w:color w:val="auto"/>
                <w:w w:val="98"/>
              </w:rPr>
              <w:t>change</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1"/>
                <w:szCs w:val="11"/>
                <w:b w:val="1"/>
                <w:bCs w:val="1"/>
                <w:color w:val="auto"/>
                <w:w w:val="99"/>
              </w:rPr>
              <w:t>2020 vs. 2019</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Revenues:</w:t>
            </w: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rPr>
                <w:sz w:val="20"/>
                <w:szCs w:val="20"/>
                <w:color w:val="auto"/>
              </w:rPr>
            </w:pPr>
            <w:r>
              <w:rPr>
                <w:rFonts w:ascii="Arial" w:cs="Arial" w:eastAsia="Arial" w:hAnsi="Arial"/>
                <w:sz w:val="14"/>
                <w:szCs w:val="14"/>
                <w:color w:val="auto"/>
              </w:rPr>
              <w:t>Premiums</w:t>
            </w: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4"/>
              <w:spacing w:after="0"/>
              <w:rPr>
                <w:sz w:val="20"/>
                <w:szCs w:val="20"/>
                <w:color w:val="auto"/>
              </w:rPr>
            </w:pPr>
            <w:r>
              <w:rPr>
                <w:rFonts w:ascii="Arial" w:cs="Arial" w:eastAsia="Arial" w:hAnsi="Arial"/>
                <w:sz w:val="14"/>
                <w:szCs w:val="14"/>
                <w:color w:val="auto"/>
              </w:rPr>
              <w:t>971,365</w:t>
            </w:r>
          </w:p>
        </w:tc>
        <w:tc>
          <w:tcPr>
            <w:tcW w:w="100" w:type="dxa"/>
            <w:vAlign w:val="bottom"/>
          </w:tcPr>
          <w:p>
            <w:pPr>
              <w:spacing w:after="0"/>
              <w:rPr>
                <w:sz w:val="15"/>
                <w:szCs w:val="15"/>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856,976</w:t>
            </w:r>
          </w:p>
        </w:tc>
        <w:tc>
          <w:tcPr>
            <w:tcW w:w="80" w:type="dxa"/>
            <w:vAlign w:val="bottom"/>
          </w:tcPr>
          <w:p>
            <w:pPr>
              <w:spacing w:after="0"/>
              <w:rPr>
                <w:sz w:val="15"/>
                <w:szCs w:val="15"/>
                <w:color w:val="auto"/>
              </w:rPr>
            </w:pPr>
          </w:p>
        </w:tc>
        <w:tc>
          <w:tcPr>
            <w:tcW w:w="5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114,389</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132,843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116,927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15,916</w:t>
            </w: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rPr>
                <w:sz w:val="20"/>
                <w:szCs w:val="20"/>
                <w:color w:val="auto"/>
              </w:rPr>
            </w:pPr>
            <w:r>
              <w:rPr>
                <w:rFonts w:ascii="Arial" w:cs="Arial" w:eastAsia="Arial" w:hAnsi="Arial"/>
                <w:sz w:val="14"/>
                <w:szCs w:val="14"/>
                <w:color w:val="auto"/>
              </w:rPr>
              <w:t>Net investment gains (losses)</w:t>
            </w:r>
          </w:p>
        </w:tc>
        <w:tc>
          <w:tcPr>
            <w:tcW w:w="400" w:type="dxa"/>
            <w:vAlign w:val="bottom"/>
          </w:tcPr>
          <w:p>
            <w:pPr>
              <w:spacing w:after="0"/>
              <w:rPr>
                <w:sz w:val="15"/>
                <w:szCs w:val="15"/>
                <w:color w:val="auto"/>
              </w:rPr>
            </w:pPr>
          </w:p>
        </w:tc>
        <w:tc>
          <w:tcPr>
            <w:tcW w:w="1260" w:type="dxa"/>
            <w:vAlign w:val="bottom"/>
          </w:tcPr>
          <w:p>
            <w:pPr>
              <w:jc w:val="right"/>
              <w:ind w:right="74"/>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718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(4,042)</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5,575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4,232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1,106,459</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978,853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127,606</w:t>
            </w:r>
          </w:p>
        </w:tc>
        <w:tc>
          <w:tcPr>
            <w:tcW w:w="9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Losses and expenses: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rPr>
                <w:sz w:val="20"/>
                <w:szCs w:val="20"/>
                <w:color w:val="auto"/>
              </w:rPr>
            </w:pPr>
            <w:r>
              <w:rPr>
                <w:rFonts w:ascii="Arial" w:cs="Arial" w:eastAsia="Arial" w:hAnsi="Arial"/>
                <w:sz w:val="14"/>
                <w:szCs w:val="14"/>
                <w:color w:val="auto"/>
              </w:rPr>
              <w:t>Losses incurred</w:t>
            </w:r>
          </w:p>
        </w:tc>
        <w:tc>
          <w:tcPr>
            <w:tcW w:w="400" w:type="dxa"/>
            <w:vAlign w:val="bottom"/>
          </w:tcPr>
          <w:p>
            <w:pPr>
              <w:spacing w:after="0"/>
              <w:rPr>
                <w:sz w:val="15"/>
                <w:szCs w:val="15"/>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color w:val="auto"/>
              </w:rPr>
              <w:t>379,834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49,850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329,984</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662 %</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operating expenses, net of deferrals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215,024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195,768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19,256</w:t>
            </w: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rPr>
                <w:sz w:val="20"/>
                <w:szCs w:val="20"/>
                <w:color w:val="auto"/>
              </w:rPr>
            </w:pPr>
            <w:r>
              <w:rPr>
                <w:rFonts w:ascii="Arial" w:cs="Arial" w:eastAsia="Arial" w:hAnsi="Arial"/>
                <w:sz w:val="14"/>
                <w:szCs w:val="14"/>
                <w:color w:val="auto"/>
              </w:rPr>
              <w:t>Amortization of deferred acquisition costs and intangibles</w:t>
            </w:r>
          </w:p>
        </w:tc>
        <w:tc>
          <w:tcPr>
            <w:tcW w:w="400" w:type="dxa"/>
            <w:vAlign w:val="bottom"/>
          </w:tcPr>
          <w:p>
            <w:pPr>
              <w:spacing w:after="0"/>
              <w:rPr>
                <w:sz w:val="15"/>
                <w:szCs w:val="15"/>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color w:val="auto"/>
              </w:rPr>
              <w:t>20,939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15,065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5,874</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18,244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18,244</w:t>
            </w: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Arial" w:cs="Arial" w:eastAsia="Arial" w:hAnsi="Arial"/>
                <w:sz w:val="20"/>
                <w:szCs w:val="20"/>
                <w:color w:val="auto"/>
                <w:vertAlign w:val="subscript"/>
              </w:rPr>
              <w:t>NM</w:t>
            </w:r>
            <w:r>
              <w:rPr>
                <w:rFonts w:ascii="Arial" w:cs="Arial" w:eastAsia="Arial" w:hAnsi="Arial"/>
                <w:sz w:val="8"/>
                <w:szCs w:val="8"/>
                <w:color w:val="auto"/>
              </w:rPr>
              <w:t xml:space="preserve"> (1)</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losses and expenses</w:t>
            </w: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634,041</w:t>
            </w:r>
          </w:p>
        </w:tc>
        <w:tc>
          <w:tcPr>
            <w:tcW w:w="10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260,683</w:t>
            </w:r>
          </w:p>
        </w:tc>
        <w:tc>
          <w:tcPr>
            <w:tcW w:w="8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373,358</w:t>
            </w:r>
          </w:p>
        </w:tc>
        <w:tc>
          <w:tcPr>
            <w:tcW w:w="9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23"/>
        </w:trPr>
        <w:tc>
          <w:tcPr>
            <w:tcW w:w="45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Income before income taxes and change in fair value of unconsolidated</w:t>
            </w:r>
          </w:p>
        </w:tc>
        <w:tc>
          <w:tcPr>
            <w:tcW w:w="4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affiliate</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472,418</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718,170</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(245,752)</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101,997</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155,832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(53,835)</w:t>
            </w:r>
          </w:p>
        </w:tc>
        <w:tc>
          <w:tcPr>
            <w:tcW w:w="9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change in fair value of unconsolidated affiliate</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370,421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562,338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(191,917)</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rPr>
                <w:sz w:val="20"/>
                <w:szCs w:val="20"/>
                <w:color w:val="auto"/>
              </w:rPr>
            </w:pPr>
            <w:r>
              <w:rPr>
                <w:rFonts w:ascii="Arial" w:cs="Arial" w:eastAsia="Arial" w:hAnsi="Arial"/>
                <w:sz w:val="14"/>
                <w:szCs w:val="14"/>
                <w:color w:val="auto"/>
              </w:rPr>
              <w:t>Change in fair value of unconsolidated affiliate, net of taxes</w:t>
            </w:r>
          </w:p>
        </w:tc>
        <w:tc>
          <w:tcPr>
            <w:tcW w:w="4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115,290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(115,290)</w:t>
            </w:r>
          </w:p>
        </w:tc>
        <w:tc>
          <w:tcPr>
            <w:tcW w:w="9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370,421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677,628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(307,207)</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4"/>
                <w:szCs w:val="14"/>
                <w:color w:val="auto"/>
              </w:rPr>
              <w:t xml:space="preserve">Loss ratio </w:t>
            </w:r>
            <w:r>
              <w:rPr>
                <w:rFonts w:ascii="Arial" w:cs="Arial" w:eastAsia="Arial" w:hAnsi="Arial"/>
                <w:sz w:val="17"/>
                <w:szCs w:val="17"/>
                <w:color w:val="auto"/>
                <w:vertAlign w:val="superscript"/>
              </w:rPr>
              <w:t>(2)</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5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4"/>
                <w:szCs w:val="14"/>
                <w:color w:val="auto"/>
              </w:rPr>
              <w:t>39 %</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6 %</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Expense ratio </w:t>
            </w:r>
            <w:r>
              <w:rPr>
                <w:rFonts w:ascii="Arial" w:cs="Arial" w:eastAsia="Arial" w:hAnsi="Arial"/>
                <w:sz w:val="17"/>
                <w:szCs w:val="17"/>
                <w:color w:val="auto"/>
                <w:vertAlign w:val="superscript"/>
              </w:rPr>
              <w:t>(3)</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33" w:lineRule="auto"/>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Not measurable.</w:t>
      </w:r>
    </w:p>
    <w:p>
      <w:pPr>
        <w:ind w:left="240" w:hanging="238"/>
        <w:spacing w:after="0" w:line="233" w:lineRule="auto"/>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Loss ratio is calculated by dividing losses incurred by net earned premiums.</w:t>
      </w:r>
    </w:p>
    <w:p>
      <w:pPr>
        <w:ind w:left="240" w:hanging="238"/>
        <w:spacing w:after="0"/>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Expense ratio is calculated by dividing acquisition and operating expenses, net of deferrals, plus amortization of DAC and intangibles by net earned premiums.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Revenues</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Premiums increased mainly attributable to higher IIF and higher policy cancellations in our single premium mortgage insurance product driven largely by higher mortgage refinancing, partially offset by lower average premium rates in 2020.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investment income increased primarily due to higher average invested assets partially offset by lower investment yields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98" w:name="page99"/>
    <w:bookmarkEnd w:id="98"/>
    <w:p>
      <w:pPr>
        <w:jc w:val="both"/>
        <w:ind w:firstLine="246"/>
        <w:spacing w:after="0" w:line="248" w:lineRule="auto"/>
        <w:rPr>
          <w:sz w:val="20"/>
          <w:szCs w:val="20"/>
          <w:color w:val="auto"/>
        </w:rPr>
      </w:pPr>
      <w:r>
        <w:rPr>
          <w:rFonts w:ascii="Arial" w:cs="Arial" w:eastAsia="Arial" w:hAnsi="Arial"/>
          <w:sz w:val="14"/>
          <w:szCs w:val="14"/>
          <w:color w:val="auto"/>
        </w:rPr>
        <w:t>Net investment losses in 2020 were primarily driven by impairments and net losses from the sale of fixed maturity securities. Net investment gains in 2019 were largely from net gains from the sale of fixed maturity securities.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Other income primarily includes underwriting fee revenue charged on a per-unit or per-diem basis, as defined in the underwriting agreement. Other income increased primarily due to higher contract underwriting revenue from a larger mortgage insurance market.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Losses and expenses</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Losses incurred increased largely from new delinquencies driven primarily by a significant increase in borrower forbearance as a result of COVID-19 and strengthening of existing reserves of $65 million in 2020 primarily driven by the deterioration of early cure emergence patterns impacting claim frequency along with a modest increase in claim severity. We also experienced lower net benefits from cures and aging of existing delinquencies in 2020. Included in 2019 were favorable reserve adjustments of $23 million mostly associated with lower expected claim rates. Our loss ratio increased primarily from higher losses, partially offset by higher net earned premiums in 2020.</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shows incurred losses related to current and prior accident years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2019</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and LAE incurred related to current accident year</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364,548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105,734</w:t>
            </w: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Losses and LAE incurred related to prior accident years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(55,917)</w:t>
            </w:r>
          </w:p>
        </w:tc>
      </w:tr>
      <w:tr>
        <w:trPr>
          <w:trHeight w:val="190"/>
        </w:trPr>
        <w:tc>
          <w:tcPr>
            <w:tcW w:w="8040" w:type="dxa"/>
            <w:vAlign w:val="bottom"/>
            <w:tcBorders>
              <w:bottom w:val="single" w:sz="8" w:color="CCEEFF"/>
            </w:tcBorders>
            <w:shd w:val="clear" w:color="auto" w:fill="CCEEFF"/>
          </w:tcPr>
          <w:p>
            <w:pPr>
              <w:ind w:left="20"/>
              <w:spacing w:after="0" w:line="165" w:lineRule="exact"/>
              <w:rPr>
                <w:sz w:val="20"/>
                <w:szCs w:val="20"/>
                <w:color w:val="auto"/>
              </w:rPr>
            </w:pPr>
            <w:r>
              <w:rPr>
                <w:rFonts w:ascii="Arial" w:cs="Arial" w:eastAsia="Arial" w:hAnsi="Arial"/>
                <w:sz w:val="14"/>
                <w:szCs w:val="14"/>
                <w:color w:val="auto"/>
              </w:rPr>
              <w:t xml:space="preserve">Total incurred </w:t>
            </w:r>
            <w:r>
              <w:rPr>
                <w:rFonts w:ascii="Arial" w:cs="Arial" w:eastAsia="Arial" w:hAnsi="Arial"/>
                <w:sz w:val="17"/>
                <w:szCs w:val="17"/>
                <w:color w:val="auto"/>
                <w:vertAlign w:val="superscript"/>
              </w:rPr>
              <w:t>(1)</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380,750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49,817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tabs>
          <w:tab w:leader="none" w:pos="22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0"/>
          <w:szCs w:val="10"/>
          <w:color w:val="auto"/>
        </w:rPr>
        <w:t>Excludes run-off business.</w:t>
      </w:r>
    </w:p>
    <w:p>
      <w:pPr>
        <w:spacing w:after="0" w:line="11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Acquisition and operating expenses, net of deferrals, increased primarily driven by higher acquisition costs mainly driven by increased NIW in 2020 and higher information technology and other expenses due to continued investment in modernization of the business.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Amortization of DAC and intangibles consists primarily of the amortization of acquisition costs that are capitalized and capitalized software. Amortization of DAC and intangibles increased primarily due to accelerated DAC amortization of $6 million driven by elevated lapses in 2020.</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expense ratio decreased slightly primarily from higher earned premiums, mostly offset by higher acquisition and operating expenses and higher DAC amortization in 2020.</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 in 2020 relates to our 2025 Senior Notes issued in August 2020.</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Provision for income taxes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effective tax rate was 21.6% and 21.7% for the years ended December 31, 2020 and 2019, respectively, consistent with the United States corporate federal income tax rate.</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Change in fair value of unconsolidated affiliate, net of taxes</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Change in fair value of unconsolidated affiliate consists of the change in the fair value of our previously held investment in Genworth Canada, which also includes dividends and the sale of common shares, net of taxes. The decrease was driven by the sale of our investment in Genworth Canada, which closed on December 12, 2019. See Note 3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99" w:name="page100"/>
    <w:bookmarkEnd w:id="99"/>
    <w:p>
      <w:pPr>
        <w:ind w:left="240"/>
        <w:spacing w:after="0"/>
        <w:rPr>
          <w:sz w:val="20"/>
          <w:szCs w:val="20"/>
          <w:color w:val="auto"/>
        </w:rPr>
      </w:pPr>
      <w:r>
        <w:rPr>
          <w:rFonts w:ascii="Arial" w:cs="Arial" w:eastAsia="Arial" w:hAnsi="Arial"/>
          <w:sz w:val="14"/>
          <w:szCs w:val="14"/>
          <w:i w:val="1"/>
          <w:iCs w:val="1"/>
          <w:color w:val="auto"/>
        </w:rPr>
        <w:t>Use of Non-GAAP Measures</w:t>
      </w:r>
    </w:p>
    <w:p>
      <w:pPr>
        <w:spacing w:after="0" w:line="14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use a non-U.S. GAAP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“Adjusted operating income” is defined as U.S. GAAP net income excluding the effects of (i) net investment gains (losses), (ii) change in fair value of unconsolidated affiliate and (iii) Restructuring costs and infrequent or unusual non-operating items.</w:t>
      </w:r>
    </w:p>
    <w:p>
      <w:pPr>
        <w:spacing w:after="0" w:line="119" w:lineRule="exact"/>
        <w:rPr>
          <w:sz w:val="20"/>
          <w:szCs w:val="20"/>
          <w:color w:val="auto"/>
        </w:rPr>
      </w:pPr>
    </w:p>
    <w:p>
      <w:pPr>
        <w:jc w:val="both"/>
        <w:ind w:left="500" w:hanging="252"/>
        <w:spacing w:after="0" w:line="246" w:lineRule="auto"/>
        <w:tabs>
          <w:tab w:leader="none" w:pos="498"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119" w:lineRule="exact"/>
        <w:rPr>
          <w:rFonts w:ascii="Arial" w:cs="Arial" w:eastAsia="Arial" w:hAnsi="Arial"/>
          <w:sz w:val="14"/>
          <w:szCs w:val="14"/>
          <w:color w:val="auto"/>
        </w:rPr>
      </w:pPr>
    </w:p>
    <w:p>
      <w:pPr>
        <w:jc w:val="both"/>
        <w:ind w:left="500" w:hanging="252"/>
        <w:spacing w:after="0" w:line="245" w:lineRule="auto"/>
        <w:tabs>
          <w:tab w:leader="none" w:pos="498"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 in fair value of unconsolidated affiliate—The change in fair value of our previously held investment in Genworth Canada could 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121" w:lineRule="exact"/>
        <w:rPr>
          <w:rFonts w:ascii="Arial" w:cs="Arial" w:eastAsia="Arial" w:hAnsi="Arial"/>
          <w:sz w:val="14"/>
          <w:szCs w:val="14"/>
          <w:color w:val="auto"/>
        </w:rPr>
      </w:pPr>
    </w:p>
    <w:p>
      <w:pPr>
        <w:ind w:left="500" w:hanging="252"/>
        <w:spacing w:after="0" w:line="248" w:lineRule="auto"/>
        <w:tabs>
          <w:tab w:leader="none" w:pos="497"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Restructuring costs and infrequent or unusual non-operating items are also excluded from adjusted operating income if, in our opinion, they are not indicative of overall operating trends.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reporting non-GAAP measures in the future, we may make other adjustments for expenses and gains we do not consider reflective of core operating performance in a particular period. We may disclose other non-GAAP operating measures if we believe that such a presentation would be helpful for investors to evaluate our operating condition by including additional information.</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Total 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Adjustments to reconcile net income to adjusted operating income assume a 21% tax rate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3" w:right="319" w:bottom="1440" w:gutter="0" w:footer="0" w:header="0"/>
        </w:sectPr>
      </w:pPr>
    </w:p>
    <w:bookmarkStart w:id="100" w:name="page101"/>
    <w:bookmarkEnd w:id="100"/>
    <w:p>
      <w:pPr>
        <w:ind w:left="240"/>
        <w:spacing w:after="0"/>
        <w:rPr>
          <w:sz w:val="20"/>
          <w:szCs w:val="20"/>
          <w:color w:val="auto"/>
        </w:rPr>
      </w:pPr>
      <w:r>
        <w:rPr>
          <w:rFonts w:ascii="Arial" w:cs="Arial" w:eastAsia="Arial" w:hAnsi="Arial"/>
          <w:sz w:val="14"/>
          <w:szCs w:val="14"/>
          <w:color w:val="auto"/>
        </w:rPr>
        <w:t>The following table includes a reconciliation of net income to adjusted operating income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546,685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677,628</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Adjustments to net income: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(gains) losses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Costs associated with reorganization</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unconsolidated affiliate</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(127,397)</w:t>
            </w: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 on adjustments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12,259</w:t>
            </w: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income</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550,531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373,047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561,772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recorded a pre-tax expense of $2.7 million for the year ended December 31, 2021, related to restructuring costs as we evaluate and appropriately size our organizational needs and expenses.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Adjusted operating income increased in 2021 compared to 2020 primarily attributable to lower losses mainly from lower new delinquencies from the improving economy and net favorable reserve adjustments in 2021 compared to unfavorable reserve adjustments in 2020, partially offset by interest expense associated with senior notes issued in August 2020 and higher operating costs in the current year.</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Adjusted operating income decreased in 2020 compared to 2019 primarily attributable to higher losses largely from new delinquencies driven in large part by a significant increase in borrower forbearance as a result of COVID-19, reserve strengthening of $51 million on existing delinquencies and from lower net benefits from cures and aging of existing delinquencies in 2020. These decreases were partially offset by higher premiums largely driven by higher IIF and an increase in policy cancellations in our single premium mortgage insurance product primarily due to higher mortgage refinancing in 2020. The year ended December 31, 2019 included favorable reserve adjustments of $18 million mostly associated with lower expected claim rates and a favorable adjustment of $11 million related to our single premium earnings pattern review.</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change in fair value of the investment in Genworth Canada was $127.4 million for the year ended December 31, 2019, and is included within change in fair value of unconsolidated affiliate in the consolidated statements of income, net of provision (benefit) for income taxes of $12.1 million. There were no infrequent or unusual items excluded from adjusted operating income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1" w:name="page102"/>
    <w:bookmarkEnd w:id="101"/>
    <w:p>
      <w:pPr>
        <w:ind w:left="240"/>
        <w:spacing w:after="0"/>
        <w:rPr>
          <w:sz w:val="20"/>
          <w:szCs w:val="20"/>
          <w:color w:val="auto"/>
        </w:rPr>
      </w:pPr>
      <w:r>
        <w:rPr>
          <w:rFonts w:ascii="Arial" w:cs="Arial" w:eastAsia="Arial" w:hAnsi="Arial"/>
          <w:sz w:val="14"/>
          <w:szCs w:val="14"/>
          <w:b w:val="1"/>
          <w:bCs w:val="1"/>
          <w:i w:val="1"/>
          <w:iCs w:val="1"/>
          <w:color w:val="auto"/>
        </w:rPr>
        <w:t>Key Metrics</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selected operating performance measures on a primary basis as of or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2019</w:t>
            </w:r>
          </w:p>
        </w:tc>
      </w:tr>
      <w:tr>
        <w:trPr>
          <w:trHeight w:val="165"/>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insurance written</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97,004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99,871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62,431</w:t>
            </w:r>
          </w:p>
        </w:tc>
      </w:tr>
      <w:tr>
        <w:trPr>
          <w:trHeight w:val="174"/>
        </w:trPr>
        <w:tc>
          <w:tcPr>
            <w:tcW w:w="614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Primary insurance in-force </w:t>
            </w:r>
            <w:r>
              <w:rPr>
                <w:rFonts w:ascii="Arial" w:cs="Arial" w:eastAsia="Arial" w:hAnsi="Arial"/>
                <w:sz w:val="17"/>
                <w:szCs w:val="17"/>
                <w:color w:val="auto"/>
                <w:vertAlign w:val="superscript"/>
              </w:rPr>
              <w:t>(1)</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15"/>
              <w:spacing w:after="0"/>
              <w:rPr>
                <w:sz w:val="20"/>
                <w:szCs w:val="20"/>
                <w:color w:val="auto"/>
              </w:rPr>
            </w:pPr>
            <w:r>
              <w:rPr>
                <w:rFonts w:ascii="Arial" w:cs="Arial" w:eastAsia="Arial" w:hAnsi="Arial"/>
                <w:sz w:val="14"/>
                <w:szCs w:val="14"/>
                <w:color w:val="auto"/>
              </w:rPr>
              <w:t>226,514</w:t>
            </w:r>
          </w:p>
        </w:tc>
        <w:tc>
          <w:tcPr>
            <w:tcW w:w="80" w:type="dxa"/>
            <w:vAlign w:val="bottom"/>
          </w:tcPr>
          <w:p>
            <w:pPr>
              <w:spacing w:after="0"/>
              <w:rPr>
                <w:sz w:val="15"/>
                <w:szCs w:val="15"/>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5"/>
              <w:spacing w:after="0"/>
              <w:rPr>
                <w:sz w:val="20"/>
                <w:szCs w:val="20"/>
                <w:color w:val="auto"/>
              </w:rPr>
            </w:pPr>
            <w:r>
              <w:rPr>
                <w:rFonts w:ascii="Arial" w:cs="Arial" w:eastAsia="Arial" w:hAnsi="Arial"/>
                <w:sz w:val="14"/>
                <w:szCs w:val="14"/>
                <w:color w:val="auto"/>
              </w:rPr>
              <w:t>207,947</w:t>
            </w:r>
          </w:p>
        </w:tc>
        <w:tc>
          <w:tcPr>
            <w:tcW w:w="80" w:type="dxa"/>
            <w:vAlign w:val="bottom"/>
          </w:tcPr>
          <w:p>
            <w:pPr>
              <w:spacing w:after="0"/>
              <w:rPr>
                <w:sz w:val="15"/>
                <w:szCs w:val="15"/>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5"/>
              <w:spacing w:after="0"/>
              <w:rPr>
                <w:sz w:val="20"/>
                <w:szCs w:val="20"/>
                <w:color w:val="auto"/>
              </w:rPr>
            </w:pPr>
            <w:r>
              <w:rPr>
                <w:rFonts w:ascii="Arial" w:cs="Arial" w:eastAsia="Arial" w:hAnsi="Arial"/>
                <w:sz w:val="14"/>
                <w:szCs w:val="14"/>
                <w:color w:val="auto"/>
              </w:rPr>
              <w:t>181,785</w:t>
            </w:r>
          </w:p>
        </w:tc>
      </w:tr>
      <w:tr>
        <w:trPr>
          <w:trHeight w:val="174"/>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Primary risk in-force</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56,881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52,475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46,246</w:t>
            </w: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0" w:type="dxa"/>
            <w:vAlign w:val="bottom"/>
          </w:tcPr>
          <w:p>
            <w:pPr>
              <w:ind w:left="20"/>
              <w:spacing w:after="0"/>
              <w:rPr>
                <w:sz w:val="20"/>
                <w:szCs w:val="20"/>
                <w:color w:val="auto"/>
              </w:rPr>
            </w:pPr>
            <w:r>
              <w:rPr>
                <w:rFonts w:ascii="Arial" w:cs="Arial" w:eastAsia="Arial" w:hAnsi="Arial"/>
                <w:sz w:val="14"/>
                <w:szCs w:val="14"/>
                <w:color w:val="auto"/>
              </w:rPr>
              <w:t>Persistency rate</w:t>
            </w:r>
          </w:p>
        </w:tc>
        <w:tc>
          <w:tcPr>
            <w:tcW w:w="4000" w:type="dxa"/>
            <w:vAlign w:val="bottom"/>
          </w:tcPr>
          <w:p>
            <w:pPr>
              <w:jc w:val="right"/>
              <w:ind w:right="552"/>
              <w:spacing w:after="0"/>
              <w:rPr>
                <w:sz w:val="20"/>
                <w:szCs w:val="20"/>
                <w:color w:val="auto"/>
              </w:rPr>
            </w:pPr>
            <w:r>
              <w:rPr>
                <w:rFonts w:ascii="Arial" w:cs="Arial" w:eastAsia="Arial" w:hAnsi="Arial"/>
                <w:sz w:val="14"/>
                <w:szCs w:val="14"/>
                <w:color w:val="auto"/>
              </w:rPr>
              <w:t>62 %</w:t>
            </w:r>
          </w:p>
        </w:tc>
        <w:tc>
          <w:tcPr>
            <w:tcW w:w="1760" w:type="dxa"/>
            <w:vAlign w:val="bottom"/>
          </w:tcPr>
          <w:p>
            <w:pPr>
              <w:jc w:val="right"/>
              <w:ind w:right="572"/>
              <w:spacing w:after="0"/>
              <w:rPr>
                <w:sz w:val="20"/>
                <w:szCs w:val="20"/>
                <w:color w:val="auto"/>
              </w:rPr>
            </w:pPr>
            <w:r>
              <w:rPr>
                <w:rFonts w:ascii="Arial" w:cs="Arial" w:eastAsia="Arial" w:hAnsi="Arial"/>
                <w:sz w:val="14"/>
                <w:szCs w:val="14"/>
                <w:color w:val="auto"/>
              </w:rPr>
              <w:t>59 %</w:t>
            </w:r>
          </w:p>
        </w:tc>
        <w:tc>
          <w:tcPr>
            <w:tcW w:w="1120" w:type="dxa"/>
            <w:vAlign w:val="bottom"/>
          </w:tcPr>
          <w:p>
            <w:pPr>
              <w:jc w:val="right"/>
              <w:spacing w:after="0"/>
              <w:rPr>
                <w:sz w:val="20"/>
                <w:szCs w:val="20"/>
                <w:color w:val="auto"/>
              </w:rPr>
            </w:pPr>
            <w:r>
              <w:rPr>
                <w:rFonts w:ascii="Arial" w:cs="Arial" w:eastAsia="Arial" w:hAnsi="Arial"/>
                <w:sz w:val="14"/>
                <w:szCs w:val="14"/>
                <w:color w:val="auto"/>
              </w:rPr>
              <w:t>76 %</w:t>
            </w:r>
          </w:p>
        </w:tc>
      </w:tr>
      <w:tr>
        <w:trPr>
          <w:trHeight w:val="175"/>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Policies in-force (count)</w:t>
            </w:r>
          </w:p>
        </w:tc>
        <w:tc>
          <w:tcPr>
            <w:tcW w:w="40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937,350</w:t>
            </w:r>
          </w:p>
        </w:tc>
        <w:tc>
          <w:tcPr>
            <w:tcW w:w="176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rPr>
              <w:t>924,624</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851,070</w:t>
            </w:r>
          </w:p>
        </w:tc>
      </w:tr>
      <w:tr>
        <w:trPr>
          <w:trHeight w:val="174"/>
        </w:trPr>
        <w:tc>
          <w:tcPr>
            <w:tcW w:w="4400" w:type="dxa"/>
            <w:vAlign w:val="bottom"/>
          </w:tcPr>
          <w:p>
            <w:pPr>
              <w:ind w:left="20"/>
              <w:spacing w:after="0"/>
              <w:rPr>
                <w:sz w:val="20"/>
                <w:szCs w:val="20"/>
                <w:color w:val="auto"/>
              </w:rPr>
            </w:pPr>
            <w:r>
              <w:rPr>
                <w:rFonts w:ascii="Arial" w:cs="Arial" w:eastAsia="Arial" w:hAnsi="Arial"/>
                <w:sz w:val="14"/>
                <w:szCs w:val="14"/>
                <w:color w:val="auto"/>
              </w:rPr>
              <w:t>Delinquent loans (count)</w:t>
            </w:r>
          </w:p>
        </w:tc>
        <w:tc>
          <w:tcPr>
            <w:tcW w:w="4000" w:type="dxa"/>
            <w:vAlign w:val="bottom"/>
          </w:tcPr>
          <w:p>
            <w:pPr>
              <w:jc w:val="right"/>
              <w:ind w:right="552"/>
              <w:spacing w:after="0"/>
              <w:rPr>
                <w:sz w:val="20"/>
                <w:szCs w:val="20"/>
                <w:color w:val="auto"/>
              </w:rPr>
            </w:pPr>
            <w:r>
              <w:rPr>
                <w:rFonts w:ascii="Arial" w:cs="Arial" w:eastAsia="Arial" w:hAnsi="Arial"/>
                <w:sz w:val="14"/>
                <w:szCs w:val="14"/>
                <w:color w:val="auto"/>
              </w:rPr>
              <w:t>24,820</w:t>
            </w:r>
          </w:p>
        </w:tc>
        <w:tc>
          <w:tcPr>
            <w:tcW w:w="1760" w:type="dxa"/>
            <w:vAlign w:val="bottom"/>
          </w:tcPr>
          <w:p>
            <w:pPr>
              <w:jc w:val="right"/>
              <w:ind w:right="572"/>
              <w:spacing w:after="0"/>
              <w:rPr>
                <w:sz w:val="20"/>
                <w:szCs w:val="20"/>
                <w:color w:val="auto"/>
              </w:rPr>
            </w:pPr>
            <w:r>
              <w:rPr>
                <w:rFonts w:ascii="Arial" w:cs="Arial" w:eastAsia="Arial" w:hAnsi="Arial"/>
                <w:sz w:val="14"/>
                <w:szCs w:val="14"/>
                <w:color w:val="auto"/>
              </w:rPr>
              <w:t>44,904</w:t>
            </w:r>
          </w:p>
        </w:tc>
        <w:tc>
          <w:tcPr>
            <w:tcW w:w="1120" w:type="dxa"/>
            <w:vAlign w:val="bottom"/>
          </w:tcPr>
          <w:p>
            <w:pPr>
              <w:jc w:val="right"/>
              <w:spacing w:after="0"/>
              <w:rPr>
                <w:sz w:val="20"/>
                <w:szCs w:val="20"/>
                <w:color w:val="auto"/>
              </w:rPr>
            </w:pPr>
            <w:r>
              <w:rPr>
                <w:rFonts w:ascii="Arial" w:cs="Arial" w:eastAsia="Arial" w:hAnsi="Arial"/>
                <w:sz w:val="14"/>
                <w:szCs w:val="14"/>
                <w:color w:val="auto"/>
              </w:rPr>
              <w:t>16,392</w:t>
            </w:r>
          </w:p>
        </w:tc>
      </w:tr>
      <w:tr>
        <w:trPr>
          <w:trHeight w:val="175"/>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Delinquency rate</w:t>
            </w:r>
          </w:p>
        </w:tc>
        <w:tc>
          <w:tcPr>
            <w:tcW w:w="40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2.65 %</w:t>
            </w:r>
          </w:p>
        </w:tc>
        <w:tc>
          <w:tcPr>
            <w:tcW w:w="176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rPr>
              <w:t>4.86 %</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04" w:lineRule="auto"/>
        <w:tabs>
          <w:tab w:leader="none" w:pos="24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Represents the aggregate unpaid principal balance for loans we insure. Original loan balances are primarily used to determine premiums.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New insurance written</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NIW for the year ended December 31, 2021 decreased 3% compared to 2020 primarily due to a smaller estimated private mortgage insurance market resulting in lower refinancing originations, partially offset by higher mortgage purchase originations. We manage the quality of new business through pricing and our underwriting guidelines, which we modify from time to time as circumstances warrant.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NIW by product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2020</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2019</w:t>
            </w: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Primary</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97,004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99,871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62,431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4"/>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Pool</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r>
      <w:tr>
        <w:trPr>
          <w:trHeight w:val="185"/>
        </w:trPr>
        <w:tc>
          <w:tcPr>
            <w:tcW w:w="284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99,871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62,431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8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09"/>
        </w:trPr>
        <w:tc>
          <w:tcPr>
            <w:tcW w:w="7620" w:type="dxa"/>
            <w:vAlign w:val="bottom"/>
            <w:gridSpan w:val="11"/>
          </w:tcPr>
          <w:p>
            <w:pPr>
              <w:ind w:left="240"/>
              <w:spacing w:after="0"/>
              <w:rPr>
                <w:sz w:val="20"/>
                <w:szCs w:val="20"/>
                <w:color w:val="auto"/>
              </w:rPr>
            </w:pPr>
            <w:r>
              <w:rPr>
                <w:rFonts w:ascii="Arial" w:cs="Arial" w:eastAsia="Arial" w:hAnsi="Arial"/>
                <w:sz w:val="14"/>
                <w:szCs w:val="14"/>
                <w:color w:val="auto"/>
              </w:rPr>
              <w:t>The following table presents primary NIW by underlying type of mortgage for the years ended December 31: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8"/>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2020</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2019</w:t>
            </w:r>
          </w:p>
        </w:tc>
      </w:tr>
      <w:tr>
        <w:trPr>
          <w:trHeight w:val="16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76,915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67,183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81 %</w:t>
            </w:r>
          </w:p>
        </w:tc>
      </w:tr>
      <w:tr>
        <w:trPr>
          <w:trHeight w:val="174"/>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Refinances</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32,688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19</w:t>
            </w:r>
          </w:p>
        </w:tc>
      </w:tr>
      <w:tr>
        <w:trPr>
          <w:trHeight w:val="185"/>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99,871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62,431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8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9"/>
        </w:trPr>
        <w:tc>
          <w:tcPr>
            <w:tcW w:w="6400" w:type="dxa"/>
            <w:vAlign w:val="bottom"/>
            <w:gridSpan w:val="8"/>
          </w:tcPr>
          <w:p>
            <w:pPr>
              <w:ind w:left="240"/>
              <w:spacing w:after="0"/>
              <w:rPr>
                <w:sz w:val="20"/>
                <w:szCs w:val="20"/>
                <w:color w:val="auto"/>
              </w:rPr>
            </w:pPr>
            <w:r>
              <w:rPr>
                <w:rFonts w:ascii="Arial" w:cs="Arial" w:eastAsia="Arial" w:hAnsi="Arial"/>
                <w:sz w:val="14"/>
                <w:szCs w:val="14"/>
                <w:color w:val="auto"/>
                <w:w w:val="99"/>
              </w:rPr>
              <w:t>The following table presents primary NIW by policy payment type for the years ended December 31: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8"/>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2020</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2019</w:t>
            </w:r>
          </w:p>
        </w:tc>
      </w:tr>
      <w:tr>
        <w:trPr>
          <w:trHeight w:val="16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Monthly</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89,115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90,147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88 %</w:t>
            </w: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Single</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7,554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9,251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7,047</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11</w:t>
            </w:r>
          </w:p>
        </w:tc>
      </w:tr>
      <w:tr>
        <w:trPr>
          <w:trHeight w:val="17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r>
      <w:tr>
        <w:trPr>
          <w:trHeight w:val="165"/>
        </w:trPr>
        <w:tc>
          <w:tcPr>
            <w:tcW w:w="2840" w:type="dxa"/>
            <w:vAlign w:val="bottom"/>
          </w:tcPr>
          <w:p>
            <w:pPr>
              <w:ind w:left="180"/>
              <w:spacing w:after="0"/>
              <w:rPr>
                <w:sz w:val="20"/>
                <w:szCs w:val="20"/>
                <w:color w:val="auto"/>
              </w:rPr>
            </w:pPr>
            <w:r>
              <w:rPr>
                <w:rFonts w:ascii="Arial" w:cs="Arial" w:eastAsia="Arial" w:hAnsi="Arial"/>
                <w:sz w:val="14"/>
                <w:szCs w:val="14"/>
                <w:color w:val="auto"/>
              </w:rPr>
              <w:t>Total</w:t>
            </w: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97,004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72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99,871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62,431</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02" w:name="page103"/>
    <w:bookmarkEnd w:id="102"/>
    <w:p>
      <w:pPr>
        <w:ind w:left="240"/>
        <w:spacing w:after="0"/>
        <w:rPr>
          <w:sz w:val="20"/>
          <w:szCs w:val="20"/>
          <w:color w:val="auto"/>
        </w:rPr>
      </w:pPr>
      <w:r>
        <w:rPr>
          <w:rFonts w:ascii="Arial" w:cs="Arial" w:eastAsia="Arial" w:hAnsi="Arial"/>
          <w:sz w:val="14"/>
          <w:szCs w:val="14"/>
          <w:color w:val="auto"/>
        </w:rPr>
        <w:t>The following table presents primary NIW by FICO score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2019</w:t>
            </w: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Over 760</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24,805</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740-759</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15,067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16,378</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10,624</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17</w:t>
            </w: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720-739</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14,305</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9,154</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15</w:t>
            </w: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700-719</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11,069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12,193</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7,888</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13</w:t>
            </w: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680-699</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8,813</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r>
      <w:tr>
        <w:trPr>
          <w:trHeight w:val="174"/>
        </w:trPr>
        <w:tc>
          <w:tcPr>
            <w:tcW w:w="284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660-679 </w:t>
            </w:r>
            <w:r>
              <w:rPr>
                <w:rFonts w:ascii="Arial" w:cs="Arial" w:eastAsia="Arial" w:hAnsi="Arial"/>
                <w:sz w:val="17"/>
                <w:szCs w:val="17"/>
                <w:color w:val="auto"/>
                <w:vertAlign w:val="superscript"/>
              </w:rPr>
              <w:t>(1)</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4,167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3,846</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2,204</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3</w:t>
            </w:r>
          </w:p>
        </w:tc>
      </w:tr>
      <w:tr>
        <w:trPr>
          <w:trHeight w:val="17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640-659</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620-639</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796</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567</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1</w:t>
            </w: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&lt;620</w:t>
            </w: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r>
      <w:tr>
        <w:trPr>
          <w:trHeight w:val="164"/>
        </w:trPr>
        <w:tc>
          <w:tcPr>
            <w:tcW w:w="2840" w:type="dxa"/>
            <w:vAlign w:val="bottom"/>
          </w:tcPr>
          <w:p>
            <w:pPr>
              <w:ind w:left="180"/>
              <w:spacing w:after="0" w:line="153" w:lineRule="exact"/>
              <w:rPr>
                <w:sz w:val="20"/>
                <w:szCs w:val="20"/>
                <w:color w:val="auto"/>
              </w:rPr>
            </w:pPr>
            <w:r>
              <w:rPr>
                <w:rFonts w:ascii="Arial" w:cs="Arial" w:eastAsia="Arial" w:hAnsi="Arial"/>
                <w:sz w:val="14"/>
                <w:szCs w:val="14"/>
                <w:color w:val="auto"/>
              </w:rPr>
              <w:t>Total</w:t>
            </w: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97,004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99,871</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62,431</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Loans with unknown FICO scores are included in the 660-679 category.</w:t>
      </w:r>
    </w:p>
    <w:p>
      <w:pPr>
        <w:spacing w:after="0" w:line="111"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LTV ratio is calculated by dividing the original loan amount, excluding financed premium, by the property’s acquisition value or fair market value at the time of origination. The following table presents primary NIW by LTV ratio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2019</w:t>
            </w:r>
          </w:p>
        </w:tc>
      </w:tr>
      <w:tr>
        <w:trPr>
          <w:trHeight w:val="16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95.01% and above</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11,625</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90.01% to 95.00%</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36,597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42,753</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26,961</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43</w:t>
            </w: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85.01% to 90.00%</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28,750</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17,874</w:t>
            </w:r>
          </w:p>
        </w:tc>
        <w:tc>
          <w:tcPr>
            <w:tcW w:w="152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29</w:t>
            </w:r>
          </w:p>
        </w:tc>
      </w:tr>
      <w:tr>
        <w:trPr>
          <w:trHeight w:val="174"/>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85.00% and below</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16,743</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w:t>
            </w:r>
          </w:p>
        </w:tc>
      </w:tr>
      <w:tr>
        <w:trPr>
          <w:trHeight w:val="185"/>
        </w:trPr>
        <w:tc>
          <w:tcPr>
            <w:tcW w:w="2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97,004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99,871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62,431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primary NIW by DTI ratio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1"/>
                <w:szCs w:val="11"/>
                <w:b w:val="1"/>
                <w:bCs w:val="1"/>
                <w:color w:val="auto"/>
                <w:w w:val="97"/>
              </w:rPr>
              <w:t>2019</w:t>
            </w:r>
          </w:p>
        </w:tc>
      </w:tr>
      <w:tr>
        <w:trPr>
          <w:trHeight w:val="16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45.01% and above</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38.01% to 45.00%</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32,946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35,729</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21,354</w:t>
            </w:r>
          </w:p>
        </w:tc>
        <w:tc>
          <w:tcPr>
            <w:tcW w:w="1520" w:type="dxa"/>
            <w:vAlign w:val="bottom"/>
            <w:gridSpan w:val="3"/>
          </w:tcPr>
          <w:p>
            <w:pPr>
              <w:jc w:val="right"/>
              <w:ind w:right="112"/>
              <w:spacing w:after="0"/>
              <w:rPr>
                <w:sz w:val="20"/>
                <w:szCs w:val="20"/>
                <w:color w:val="auto"/>
              </w:rPr>
            </w:pPr>
            <w:r>
              <w:rPr>
                <w:rFonts w:ascii="Arial" w:cs="Arial" w:eastAsia="Arial" w:hAnsi="Arial"/>
                <w:sz w:val="14"/>
                <w:szCs w:val="14"/>
                <w:color w:val="auto"/>
              </w:rPr>
              <w:t>34</w:t>
            </w:r>
          </w:p>
        </w:tc>
      </w:tr>
      <w:tr>
        <w:trPr>
          <w:trHeight w:val="17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38.00% and below</w:t>
            </w: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50,470</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27,490</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44</w:t>
            </w:r>
          </w:p>
        </w:tc>
      </w:tr>
      <w:tr>
        <w:trPr>
          <w:trHeight w:val="165"/>
        </w:trPr>
        <w:tc>
          <w:tcPr>
            <w:tcW w:w="2840" w:type="dxa"/>
            <w:vAlign w:val="bottom"/>
          </w:tcPr>
          <w:p>
            <w:pPr>
              <w:ind w:left="180"/>
              <w:spacing w:after="0"/>
              <w:rPr>
                <w:sz w:val="20"/>
                <w:szCs w:val="20"/>
                <w:color w:val="auto"/>
              </w:rPr>
            </w:pPr>
            <w:r>
              <w:rPr>
                <w:rFonts w:ascii="Arial" w:cs="Arial" w:eastAsia="Arial" w:hAnsi="Arial"/>
                <w:sz w:val="14"/>
                <w:szCs w:val="14"/>
                <w:color w:val="auto"/>
              </w:rPr>
              <w:t>Total</w:t>
            </w: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97,004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99,871</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62,431</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Insurance in-force and Risk in-force</w:t>
      </w:r>
    </w:p>
    <w:p>
      <w:pPr>
        <w:spacing w:after="0" w:line="14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IIF increased largely from NIW, partially offset by lapses and cancellations as we experienced lower persistency during the current year. Primary persistency was 62% and 59% for the years ended December 31, 2021 and 2020, respectively. RIF increased primarily as a result of higher IIF.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3" w:name="page104"/>
    <w:bookmarkEnd w:id="103"/>
    <w:p>
      <w:pPr>
        <w:ind w:left="240"/>
        <w:spacing w:after="0"/>
        <w:rPr>
          <w:sz w:val="20"/>
          <w:szCs w:val="20"/>
          <w:color w:val="auto"/>
        </w:rPr>
      </w:pPr>
      <w:r>
        <w:rPr>
          <w:rFonts w:ascii="Arial" w:cs="Arial" w:eastAsia="Arial" w:hAnsi="Arial"/>
          <w:sz w:val="14"/>
          <w:szCs w:val="14"/>
          <w:color w:val="auto"/>
        </w:rPr>
        <w:t>The following table sets forth IIF and RIF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5"/>
          </w:tcPr>
          <w:p>
            <w:pPr>
              <w:jc w:val="center"/>
              <w:ind w:left="454"/>
              <w:spacing w:after="0"/>
              <w:rPr>
                <w:sz w:val="20"/>
                <w:szCs w:val="20"/>
                <w:color w:val="auto"/>
              </w:rPr>
            </w:pPr>
            <w:r>
              <w:rPr>
                <w:rFonts w:ascii="Arial" w:cs="Arial" w:eastAsia="Arial" w:hAnsi="Arial"/>
                <w:sz w:val="11"/>
                <w:szCs w:val="11"/>
                <w:b w:val="1"/>
                <w:bCs w:val="1"/>
                <w:color w:val="auto"/>
                <w:w w:val="97"/>
              </w:rPr>
              <w:t>December 31,</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4"/>
          </w:tcPr>
          <w:p>
            <w:pPr>
              <w:jc w:val="center"/>
              <w:ind w:left="274"/>
              <w:spacing w:after="0"/>
              <w:rPr>
                <w:sz w:val="20"/>
                <w:szCs w:val="20"/>
                <w:color w:val="auto"/>
              </w:rPr>
            </w:pPr>
            <w:r>
              <w:rPr>
                <w:rFonts w:ascii="Arial" w:cs="Arial" w:eastAsia="Arial" w:hAnsi="Arial"/>
                <w:sz w:val="11"/>
                <w:szCs w:val="11"/>
                <w:b w:val="1"/>
                <w:bCs w:val="1"/>
                <w:color w:val="auto"/>
                <w:w w:val="97"/>
              </w:rPr>
              <w:t>December 31,</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4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Primary IIF</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5"/>
              <w:spacing w:after="0"/>
              <w:rPr>
                <w:sz w:val="20"/>
                <w:szCs w:val="20"/>
                <w:color w:val="auto"/>
              </w:rPr>
            </w:pPr>
            <w:r>
              <w:rPr>
                <w:rFonts w:ascii="Arial" w:cs="Arial" w:eastAsia="Arial" w:hAnsi="Arial"/>
                <w:sz w:val="14"/>
                <w:szCs w:val="14"/>
                <w:color w:val="auto"/>
              </w:rPr>
              <w:t>226,514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207,947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181,785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Pool IIF</w:t>
            </w: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color w:val="auto"/>
              </w:rPr>
              <w:t>641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883</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1,084</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5"/>
        </w:trPr>
        <w:tc>
          <w:tcPr>
            <w:tcW w:w="284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Total IIF</w:t>
            </w: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4"/>
                <w:szCs w:val="14"/>
                <w:color w:val="auto"/>
              </w:rPr>
              <w:t>227,155</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208,830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182,869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Primary RIF</w:t>
            </w: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40" w:type="dxa"/>
            <w:vAlign w:val="bottom"/>
            <w:vMerge w:val="continue"/>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5"/>
              <w:spacing w:after="0" w:line="135" w:lineRule="exact"/>
              <w:rPr>
                <w:sz w:val="20"/>
                <w:szCs w:val="20"/>
                <w:color w:val="auto"/>
              </w:rPr>
            </w:pPr>
            <w:r>
              <w:rPr>
                <w:rFonts w:ascii="Arial" w:cs="Arial" w:eastAsia="Arial" w:hAnsi="Arial"/>
                <w:sz w:val="14"/>
                <w:szCs w:val="14"/>
                <w:color w:val="auto"/>
              </w:rPr>
              <w:t>56,881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4"/>
          </w:tcPr>
          <w:p>
            <w:pPr>
              <w:jc w:val="right"/>
              <w:ind w:right="20"/>
              <w:spacing w:after="0" w:line="135" w:lineRule="exact"/>
              <w:rPr>
                <w:sz w:val="20"/>
                <w:szCs w:val="20"/>
                <w:color w:val="auto"/>
              </w:rPr>
            </w:pPr>
            <w:r>
              <w:rPr>
                <w:rFonts w:ascii="Arial" w:cs="Arial" w:eastAsia="Arial" w:hAnsi="Arial"/>
                <w:sz w:val="14"/>
                <w:szCs w:val="14"/>
                <w:color w:val="auto"/>
              </w:rPr>
              <w:t>100 %</w:t>
            </w:r>
          </w:p>
        </w:tc>
        <w:tc>
          <w:tcPr>
            <w:tcW w:w="80" w:type="dxa"/>
            <w:vAlign w:val="bottom"/>
          </w:tcPr>
          <w:p>
            <w:pPr>
              <w:spacing w:after="0"/>
              <w:rPr>
                <w:sz w:val="11"/>
                <w:szCs w:val="11"/>
                <w:color w:val="auto"/>
              </w:rPr>
            </w:pPr>
          </w:p>
        </w:tc>
        <w:tc>
          <w:tcPr>
            <w:tcW w:w="240" w:type="dxa"/>
            <w:vAlign w:val="bottom"/>
          </w:tcPr>
          <w:p>
            <w:pPr>
              <w:jc w:val="right"/>
              <w:ind w:right="92"/>
              <w:spacing w:after="0" w:line="135" w:lineRule="exact"/>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60"/>
              <w:spacing w:after="0" w:line="135" w:lineRule="exact"/>
              <w:rPr>
                <w:sz w:val="20"/>
                <w:szCs w:val="20"/>
                <w:color w:val="auto"/>
              </w:rPr>
            </w:pPr>
            <w:r>
              <w:rPr>
                <w:rFonts w:ascii="Arial" w:cs="Arial" w:eastAsia="Arial" w:hAnsi="Arial"/>
                <w:sz w:val="14"/>
                <w:szCs w:val="14"/>
                <w:color w:val="auto"/>
              </w:rPr>
              <w:t>52,475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320" w:type="dxa"/>
            <w:vAlign w:val="bottom"/>
          </w:tcPr>
          <w:p>
            <w:pPr>
              <w:jc w:val="right"/>
              <w:ind w:right="172"/>
              <w:spacing w:after="0" w:line="13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46,246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Pool RIF</w:t>
            </w:r>
          </w:p>
        </w:tc>
        <w:tc>
          <w:tcPr>
            <w:tcW w:w="5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840" w:type="dxa"/>
            <w:vAlign w:val="bottom"/>
          </w:tcPr>
          <w:p>
            <w:pPr>
              <w:ind w:left="180"/>
              <w:spacing w:after="0" w:line="153" w:lineRule="exact"/>
              <w:rPr>
                <w:sz w:val="20"/>
                <w:szCs w:val="20"/>
                <w:color w:val="auto"/>
              </w:rPr>
            </w:pPr>
            <w:r>
              <w:rPr>
                <w:rFonts w:ascii="Arial" w:cs="Arial" w:eastAsia="Arial" w:hAnsi="Arial"/>
                <w:sz w:val="14"/>
                <w:szCs w:val="14"/>
                <w:color w:val="auto"/>
              </w:rPr>
              <w:t>Total RIF</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5"/>
              <w:spacing w:after="0"/>
              <w:rPr>
                <w:sz w:val="20"/>
                <w:szCs w:val="20"/>
                <w:color w:val="auto"/>
              </w:rPr>
            </w:pPr>
            <w:r>
              <w:rPr>
                <w:rFonts w:ascii="Arial" w:cs="Arial" w:eastAsia="Arial" w:hAnsi="Arial"/>
                <w:sz w:val="14"/>
                <w:szCs w:val="14"/>
                <w:color w:val="auto"/>
              </w:rPr>
              <w:t>56,986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52,621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46,434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80" w:type="dxa"/>
            <w:vAlign w:val="bottom"/>
            <w:gridSpan w:val="8"/>
          </w:tcPr>
          <w:p>
            <w:pPr>
              <w:ind w:left="240"/>
              <w:spacing w:after="0"/>
              <w:rPr>
                <w:sz w:val="20"/>
                <w:szCs w:val="20"/>
                <w:color w:val="auto"/>
              </w:rPr>
            </w:pPr>
            <w:r>
              <w:rPr>
                <w:rFonts w:ascii="Arial" w:cs="Arial" w:eastAsia="Arial" w:hAnsi="Arial"/>
                <w:sz w:val="14"/>
                <w:szCs w:val="14"/>
                <w:color w:val="auto"/>
                <w:w w:val="98"/>
              </w:rPr>
              <w:t>The following table sets forth primary IIF by policy year as of the dates indicated: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w w:val="97"/>
              </w:rPr>
              <w:t>December 31,</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5"/>
          </w:tcPr>
          <w:p>
            <w:pPr>
              <w:jc w:val="center"/>
              <w:spacing w:after="0"/>
              <w:rPr>
                <w:sz w:val="20"/>
                <w:szCs w:val="20"/>
                <w:color w:val="auto"/>
              </w:rPr>
            </w:pPr>
            <w:r>
              <w:rPr>
                <w:rFonts w:ascii="Arial" w:cs="Arial" w:eastAsia="Arial" w:hAnsi="Arial"/>
                <w:sz w:val="11"/>
                <w:szCs w:val="11"/>
                <w:b w:val="1"/>
                <w:bCs w:val="1"/>
                <w:color w:val="auto"/>
              </w:rPr>
              <w:t>December 31,</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4"/>
          </w:tcPr>
          <w:p>
            <w:pPr>
              <w:jc w:val="center"/>
              <w:ind w:left="94"/>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84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left="94"/>
              <w:spacing w:after="0"/>
              <w:rPr>
                <w:sz w:val="20"/>
                <w:szCs w:val="20"/>
                <w:color w:val="auto"/>
              </w:rPr>
            </w:pPr>
            <w:r>
              <w:rPr>
                <w:rFonts w:ascii="Arial" w:cs="Arial" w:eastAsia="Arial" w:hAnsi="Arial"/>
                <w:sz w:val="11"/>
                <w:szCs w:val="11"/>
                <w:b w:val="1"/>
                <w:bCs w:val="1"/>
                <w:color w:val="auto"/>
                <w:w w:val="97"/>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2004 and prior</w:t>
            </w: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2005 to 2008</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7,655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2009 to 2013</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2014</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1,965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24,807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2018</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58,876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69,963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93,637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4"/>
          </w:tcPr>
          <w:p>
            <w:pPr>
              <w:jc w:val="right"/>
              <w:ind w:right="8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91,546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840" w:type="dxa"/>
            <w:vAlign w:val="bottom"/>
          </w:tcPr>
          <w:p>
            <w:pPr>
              <w:ind w:left="180"/>
              <w:spacing w:after="0" w:line="153" w:lineRule="exact"/>
              <w:rPr>
                <w:sz w:val="20"/>
                <w:szCs w:val="20"/>
                <w:color w:val="auto"/>
              </w:rPr>
            </w:pPr>
            <w:r>
              <w:rPr>
                <w:rFonts w:ascii="Arial" w:cs="Arial" w:eastAsia="Arial" w:hAnsi="Arial"/>
                <w:sz w:val="14"/>
                <w:szCs w:val="14"/>
                <w:color w:val="auto"/>
              </w:rPr>
              <w:t>Total</w:t>
            </w: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226,514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5"/>
              </w:rPr>
              <w:t>100 %</w:t>
            </w:r>
          </w:p>
        </w:tc>
        <w:tc>
          <w:tcPr>
            <w:tcW w:w="3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207,947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181,785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80" w:type="dxa"/>
            <w:vAlign w:val="bottom"/>
            <w:gridSpan w:val="8"/>
          </w:tcPr>
          <w:p>
            <w:pPr>
              <w:ind w:left="240"/>
              <w:spacing w:after="0"/>
              <w:rPr>
                <w:sz w:val="20"/>
                <w:szCs w:val="20"/>
                <w:color w:val="auto"/>
              </w:rPr>
            </w:pPr>
            <w:r>
              <w:rPr>
                <w:rFonts w:ascii="Arial" w:cs="Arial" w:eastAsia="Arial" w:hAnsi="Arial"/>
                <w:sz w:val="14"/>
                <w:szCs w:val="14"/>
                <w:color w:val="auto"/>
                <w:w w:val="97"/>
              </w:rPr>
              <w:t>The following table sets forth primary RIF by policy year as of the dates indicated: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5"/>
          </w:tcPr>
          <w:p>
            <w:pPr>
              <w:jc w:val="center"/>
              <w:spacing w:after="0"/>
              <w:rPr>
                <w:sz w:val="20"/>
                <w:szCs w:val="20"/>
                <w:color w:val="auto"/>
              </w:rPr>
            </w:pPr>
            <w:r>
              <w:rPr>
                <w:rFonts w:ascii="Arial" w:cs="Arial" w:eastAsia="Arial" w:hAnsi="Arial"/>
                <w:sz w:val="11"/>
                <w:szCs w:val="11"/>
                <w:b w:val="1"/>
                <w:bCs w:val="1"/>
                <w:color w:val="auto"/>
              </w:rPr>
              <w:t>December 31,</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4"/>
          </w:tcPr>
          <w:p>
            <w:pPr>
              <w:jc w:val="center"/>
              <w:ind w:left="114"/>
              <w:spacing w:after="0"/>
              <w:rPr>
                <w:sz w:val="20"/>
                <w:szCs w:val="20"/>
                <w:color w:val="auto"/>
              </w:rPr>
            </w:pPr>
            <w:r>
              <w:rPr>
                <w:rFonts w:ascii="Arial" w:cs="Arial" w:eastAsia="Arial" w:hAnsi="Arial"/>
                <w:sz w:val="11"/>
                <w:szCs w:val="11"/>
                <w:b w:val="1"/>
                <w:bCs w:val="1"/>
                <w:color w:val="auto"/>
                <w:w w:val="97"/>
              </w:rPr>
              <w:t>December 31,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84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left="94"/>
              <w:spacing w:after="0"/>
              <w:rPr>
                <w:sz w:val="20"/>
                <w:szCs w:val="20"/>
                <w:color w:val="auto"/>
              </w:rPr>
            </w:pPr>
            <w:r>
              <w:rPr>
                <w:rFonts w:ascii="Arial" w:cs="Arial" w:eastAsia="Arial" w:hAnsi="Arial"/>
                <w:sz w:val="11"/>
                <w:szCs w:val="11"/>
                <w:b w:val="1"/>
                <w:bCs w:val="1"/>
                <w:color w:val="auto"/>
                <w:w w:val="97"/>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2004 and prior</w:t>
            </w:r>
          </w:p>
        </w:tc>
        <w:tc>
          <w:tcPr>
            <w:tcW w:w="50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2005 to 2008</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2009 to 2013</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2014</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2018</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17,574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4"/>
          </w:tcPr>
          <w:p>
            <w:pPr>
              <w:jc w:val="right"/>
              <w:ind w:right="8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840" w:type="dxa"/>
            <w:vAlign w:val="bottom"/>
          </w:tcPr>
          <w:p>
            <w:pPr>
              <w:ind w:left="180"/>
              <w:spacing w:after="0" w:line="153" w:lineRule="exact"/>
              <w:rPr>
                <w:sz w:val="20"/>
                <w:szCs w:val="20"/>
                <w:color w:val="auto"/>
              </w:rPr>
            </w:pPr>
            <w:r>
              <w:rPr>
                <w:rFonts w:ascii="Arial" w:cs="Arial" w:eastAsia="Arial" w:hAnsi="Arial"/>
                <w:sz w:val="14"/>
                <w:szCs w:val="14"/>
                <w:color w:val="auto"/>
              </w:rPr>
              <w:t>Total</w:t>
            </w: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56,881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5"/>
              </w:rPr>
              <w:t>100 %</w:t>
            </w: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52,475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46,246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4" w:name="page105"/>
    <w:bookmarkEnd w:id="104"/>
    <w:p>
      <w:pPr>
        <w:ind w:left="240"/>
        <w:spacing w:after="0"/>
        <w:rPr>
          <w:sz w:val="20"/>
          <w:szCs w:val="20"/>
          <w:color w:val="auto"/>
        </w:rPr>
      </w:pPr>
      <w:r>
        <w:rPr>
          <w:rFonts w:ascii="Arial" w:cs="Arial" w:eastAsia="Arial" w:hAnsi="Arial"/>
          <w:sz w:val="14"/>
          <w:szCs w:val="14"/>
          <w:color w:val="auto"/>
        </w:rPr>
        <w:t>The following table presents the development of primary IIF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$207,947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181,785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157,103</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NIW</w:t>
            </w:r>
          </w:p>
        </w:tc>
        <w:tc>
          <w:tcPr>
            <w:tcW w:w="1580" w:type="dxa"/>
            <w:vAlign w:val="bottom"/>
          </w:tcPr>
          <w:p>
            <w:pPr>
              <w:jc w:val="center"/>
              <w:spacing w:after="0"/>
              <w:rPr>
                <w:sz w:val="20"/>
                <w:szCs w:val="20"/>
                <w:color w:val="auto"/>
              </w:rPr>
            </w:pPr>
            <w:r>
              <w:rPr>
                <w:rFonts w:ascii="Arial" w:cs="Arial" w:eastAsia="Arial" w:hAnsi="Arial"/>
                <w:sz w:val="14"/>
                <w:szCs w:val="14"/>
                <w:color w:val="auto"/>
                <w:w w:val="97"/>
              </w:rPr>
              <w:t>97,004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99,871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62,431</w:t>
            </w:r>
          </w:p>
        </w:tc>
      </w:tr>
      <w:tr>
        <w:trPr>
          <w:trHeight w:val="175"/>
        </w:trPr>
        <w:tc>
          <w:tcPr>
            <w:tcW w:w="6380" w:type="dxa"/>
            <w:vAlign w:val="bottom"/>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Cancellations, principal repayments and other reductions </w:t>
            </w:r>
            <w:r>
              <w:rPr>
                <w:rFonts w:ascii="Arial" w:cs="Arial" w:eastAsia="Arial" w:hAnsi="Arial"/>
                <w:sz w:val="17"/>
                <w:szCs w:val="17"/>
                <w:color w:val="auto"/>
                <w:vertAlign w:val="superscript"/>
              </w:rPr>
              <w:t>(1)</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(78,437)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(73,709)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(37,749)</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$226,514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207,947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181,785</w:t>
            </w:r>
          </w:p>
        </w:tc>
      </w:tr>
      <w:tr>
        <w:trPr>
          <w:trHeight w:val="20"/>
        </w:trPr>
        <w:tc>
          <w:tcPr>
            <w:tcW w:w="6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ind w:left="240" w:hanging="238"/>
        <w:spacing w:after="0" w:line="204" w:lineRule="auto"/>
        <w:tabs>
          <w:tab w:leader="none" w:pos="240"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Includes the estimated amortization of unpaid principal balance of covered loans.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primary IIF by LTV ratio at origination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97"/>
              </w:rPr>
              <w:t>December 31,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rPr>
              <w:t>December 31,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5"/>
          </w:tcPr>
          <w:p>
            <w:pPr>
              <w:jc w:val="center"/>
              <w:ind w:left="95"/>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4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jc w:val="center"/>
              <w:ind w:left="234"/>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center"/>
              <w:ind w:left="95"/>
              <w:spacing w:after="0"/>
              <w:rPr>
                <w:sz w:val="20"/>
                <w:szCs w:val="20"/>
                <w:color w:val="auto"/>
              </w:rPr>
            </w:pPr>
            <w:r>
              <w:rPr>
                <w:rFonts w:ascii="Arial" w:cs="Arial" w:eastAsia="Arial" w:hAnsi="Arial"/>
                <w:sz w:val="11"/>
                <w:szCs w:val="11"/>
                <w:b w:val="1"/>
                <w:bCs w:val="1"/>
                <w:color w:val="auto"/>
                <w:w w:val="97"/>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95.01% and above</w:t>
            </w:r>
          </w:p>
        </w:tc>
        <w:tc>
          <w:tcPr>
            <w:tcW w:w="5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90.01% to 95.00%</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95,149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92,689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83,189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85.01% to 90.00%</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85.00% and below</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24,397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284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226,514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207,947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181,785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060" w:type="dxa"/>
            <w:vAlign w:val="bottom"/>
            <w:gridSpan w:val="15"/>
          </w:tcPr>
          <w:p>
            <w:pPr>
              <w:ind w:left="240"/>
              <w:spacing w:after="0"/>
              <w:rPr>
                <w:sz w:val="20"/>
                <w:szCs w:val="20"/>
                <w:color w:val="auto"/>
              </w:rPr>
            </w:pPr>
            <w:r>
              <w:rPr>
                <w:rFonts w:ascii="Arial" w:cs="Arial" w:eastAsia="Arial" w:hAnsi="Arial"/>
                <w:sz w:val="14"/>
                <w:szCs w:val="14"/>
                <w:color w:val="auto"/>
              </w:rPr>
              <w:t>The following table sets forth primary RIF by LTV ratio at origination as of the dates indicated: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auto"/>
              </w:rPr>
              <w:t>December 31,</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rPr>
              <w:t>December 31,</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0" w:type="dxa"/>
            <w:vAlign w:val="bottom"/>
            <w:gridSpan w:val="5"/>
          </w:tcPr>
          <w:p>
            <w:pPr>
              <w:jc w:val="center"/>
              <w:ind w:left="115"/>
              <w:spacing w:after="0"/>
              <w:rPr>
                <w:sz w:val="20"/>
                <w:szCs w:val="20"/>
                <w:color w:val="auto"/>
              </w:rPr>
            </w:pPr>
            <w:r>
              <w:rPr>
                <w:rFonts w:ascii="Arial" w:cs="Arial" w:eastAsia="Arial" w:hAnsi="Arial"/>
                <w:sz w:val="11"/>
                <w:szCs w:val="11"/>
                <w:b w:val="1"/>
                <w:bCs w:val="1"/>
                <w:color w:val="auto"/>
                <w:w w:val="97"/>
              </w:rPr>
              <w:t>December 31,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84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jc w:val="center"/>
              <w:ind w:left="234"/>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center"/>
              <w:ind w:left="95"/>
              <w:spacing w:after="0"/>
              <w:rPr>
                <w:sz w:val="20"/>
                <w:szCs w:val="20"/>
                <w:color w:val="auto"/>
              </w:rPr>
            </w:pPr>
            <w:r>
              <w:rPr>
                <w:rFonts w:ascii="Arial" w:cs="Arial" w:eastAsia="Arial" w:hAnsi="Arial"/>
                <w:sz w:val="11"/>
                <w:szCs w:val="11"/>
                <w:b w:val="1"/>
                <w:bCs w:val="1"/>
                <w:color w:val="auto"/>
                <w:w w:val="97"/>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95.01% and above</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4"/>
                <w:szCs w:val="14"/>
                <w:color w:val="auto"/>
              </w:rPr>
              <w:t>90.01% to 95.00%</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27,608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26,774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85.01% to 90.00%</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05"/>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85.00% and below</w:t>
            </w:r>
          </w:p>
        </w:tc>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060" w:type="dxa"/>
            <w:vAlign w:val="bottom"/>
            <w:gridSpan w:val="15"/>
          </w:tcPr>
          <w:p>
            <w:pPr>
              <w:ind w:left="240"/>
              <w:spacing w:after="0"/>
              <w:rPr>
                <w:sz w:val="20"/>
                <w:szCs w:val="20"/>
                <w:color w:val="auto"/>
              </w:rPr>
            </w:pPr>
            <w:r>
              <w:rPr>
                <w:rFonts w:ascii="Arial" w:cs="Arial" w:eastAsia="Arial" w:hAnsi="Arial"/>
                <w:sz w:val="14"/>
                <w:szCs w:val="14"/>
                <w:color w:val="auto"/>
                <w:w w:val="98"/>
              </w:rPr>
              <w:t>The following table sets forth primary IIF by FICO score at origination as of the dates indicated: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3"/>
          </w:tcPr>
          <w:p>
            <w:pPr>
              <w:jc w:val="center"/>
              <w:ind w:left="5"/>
              <w:spacing w:after="0"/>
              <w:rPr>
                <w:sz w:val="20"/>
                <w:szCs w:val="20"/>
                <w:color w:val="auto"/>
              </w:rPr>
            </w:pPr>
            <w:r>
              <w:rPr>
                <w:rFonts w:ascii="Arial" w:cs="Arial" w:eastAsia="Arial" w:hAnsi="Arial"/>
                <w:sz w:val="11"/>
                <w:szCs w:val="11"/>
                <w:b w:val="1"/>
                <w:bCs w:val="1"/>
                <w:color w:val="auto"/>
              </w:rPr>
              <w:t>December 31,</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7"/>
              </w:rPr>
              <w:t>December 31,</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0" w:type="dxa"/>
            <w:vAlign w:val="bottom"/>
            <w:gridSpan w:val="5"/>
          </w:tcPr>
          <w:p>
            <w:pPr>
              <w:jc w:val="center"/>
              <w:ind w:left="295"/>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84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Over 760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89,982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78,488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69,129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740-759</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5"/>
              <w:spacing w:after="0"/>
              <w:rPr>
                <w:sz w:val="20"/>
                <w:szCs w:val="20"/>
                <w:color w:val="auto"/>
              </w:rPr>
            </w:pPr>
            <w:r>
              <w:rPr>
                <w:rFonts w:ascii="Arial" w:cs="Arial" w:eastAsia="Arial" w:hAnsi="Arial"/>
                <w:sz w:val="14"/>
                <w:szCs w:val="14"/>
                <w:color w:val="auto"/>
              </w:rPr>
              <w:t>35,874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33,635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29,961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720-739</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31,730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30,058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700-719</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5"/>
              <w:spacing w:after="0"/>
              <w:rPr>
                <w:sz w:val="20"/>
                <w:szCs w:val="20"/>
                <w:color w:val="auto"/>
              </w:rPr>
            </w:pPr>
            <w:r>
              <w:rPr>
                <w:rFonts w:ascii="Arial" w:cs="Arial" w:eastAsia="Arial" w:hAnsi="Arial"/>
                <w:sz w:val="14"/>
                <w:szCs w:val="14"/>
                <w:color w:val="auto"/>
              </w:rPr>
              <w:t>27,359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25,870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21,567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680-699</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21,270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20,140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16,935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660-679 </w:t>
            </w:r>
            <w:r>
              <w:rPr>
                <w:rFonts w:ascii="Arial" w:cs="Arial" w:eastAsia="Arial" w:hAnsi="Arial"/>
                <w:sz w:val="17"/>
                <w:szCs w:val="17"/>
                <w:color w:val="auto"/>
                <w:vertAlign w:val="superscript"/>
              </w:rPr>
              <w:t>(1)</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5"/>
              <w:spacing w:after="0"/>
              <w:rPr>
                <w:sz w:val="20"/>
                <w:szCs w:val="20"/>
                <w:color w:val="auto"/>
              </w:rPr>
            </w:pPr>
            <w:r>
              <w:rPr>
                <w:rFonts w:ascii="Arial" w:cs="Arial" w:eastAsia="Arial" w:hAnsi="Arial"/>
                <w:sz w:val="14"/>
                <w:szCs w:val="14"/>
                <w:color w:val="auto"/>
              </w:rPr>
              <w:t>10,549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9,819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8,504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640-659</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6,124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5,935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5,379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4"/>
                <w:szCs w:val="14"/>
                <w:color w:val="auto"/>
              </w:rPr>
              <w:t>620-639</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5"/>
              <w:spacing w:after="0"/>
              <w:rPr>
                <w:sz w:val="20"/>
                <w:szCs w:val="20"/>
                <w:color w:val="auto"/>
              </w:rPr>
            </w:pPr>
            <w:r>
              <w:rPr>
                <w:rFonts w:ascii="Arial" w:cs="Arial" w:eastAsia="Arial" w:hAnsi="Arial"/>
                <w:sz w:val="14"/>
                <w:szCs w:val="14"/>
                <w:color w:val="auto"/>
              </w:rPr>
              <w:t>2,783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2,902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2,794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&lt;620</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4"/>
            <w:shd w:val="clear" w:color="auto" w:fill="CCEEFF"/>
          </w:tcPr>
          <w:p>
            <w:pPr>
              <w:jc w:val="right"/>
              <w:ind w:right="5"/>
              <w:spacing w:after="0"/>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1,332</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4"/>
        </w:trPr>
        <w:tc>
          <w:tcPr>
            <w:tcW w:w="2840" w:type="dxa"/>
            <w:vAlign w:val="bottom"/>
          </w:tcPr>
          <w:p>
            <w:pPr>
              <w:ind w:left="20"/>
              <w:spacing w:after="0" w:line="153" w:lineRule="exact"/>
              <w:rPr>
                <w:sz w:val="20"/>
                <w:szCs w:val="20"/>
                <w:color w:val="auto"/>
              </w:rPr>
            </w:pPr>
            <w:r>
              <w:rPr>
                <w:rFonts w:ascii="Arial" w:cs="Arial" w:eastAsia="Arial" w:hAnsi="Arial"/>
                <w:sz w:val="14"/>
                <w:szCs w:val="14"/>
                <w:color w:val="auto"/>
              </w:rPr>
              <w:t>Total</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5"/>
              <w:spacing w:after="0"/>
              <w:rPr>
                <w:sz w:val="20"/>
                <w:szCs w:val="20"/>
                <w:color w:val="auto"/>
              </w:rPr>
            </w:pPr>
            <w:r>
              <w:rPr>
                <w:rFonts w:ascii="Arial" w:cs="Arial" w:eastAsia="Arial" w:hAnsi="Arial"/>
                <w:sz w:val="14"/>
                <w:szCs w:val="14"/>
                <w:color w:val="auto"/>
              </w:rPr>
              <w:t>226,514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207,947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181,785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41"/>
        </w:numPr>
        <w:rPr>
          <w:rFonts w:ascii="Arial" w:cs="Arial" w:eastAsia="Arial" w:hAnsi="Arial"/>
          <w:sz w:val="14"/>
          <w:szCs w:val="14"/>
          <w:color w:val="auto"/>
          <w:vertAlign w:val="superscript"/>
        </w:rPr>
      </w:pPr>
      <w:r>
        <w:rPr>
          <w:rFonts w:ascii="Arial" w:cs="Arial" w:eastAsia="Arial" w:hAnsi="Arial"/>
          <w:sz w:val="11"/>
          <w:szCs w:val="11"/>
          <w:color w:val="auto"/>
        </w:rPr>
        <w:t>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5" w:name="page106"/>
    <w:bookmarkEnd w:id="105"/>
    <w:p>
      <w:pPr>
        <w:ind w:left="240"/>
        <w:spacing w:after="0"/>
        <w:rPr>
          <w:sz w:val="20"/>
          <w:szCs w:val="20"/>
          <w:color w:val="auto"/>
        </w:rPr>
      </w:pPr>
      <w:r>
        <w:rPr>
          <w:rFonts w:ascii="Arial" w:cs="Arial" w:eastAsia="Arial" w:hAnsi="Arial"/>
          <w:sz w:val="14"/>
          <w:szCs w:val="14"/>
          <w:color w:val="auto"/>
        </w:rPr>
        <w:t>The following table sets forth primary RIF by FICO score at origination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millions)</w:t>
            </w:r>
          </w:p>
        </w:tc>
        <w:tc>
          <w:tcPr>
            <w:tcW w:w="400" w:type="dxa"/>
            <w:vAlign w:val="bottom"/>
          </w:tcPr>
          <w:p>
            <w:pPr>
              <w:spacing w:after="0"/>
              <w:rPr>
                <w:sz w:val="10"/>
                <w:szCs w:val="10"/>
                <w:color w:val="auto"/>
              </w:rPr>
            </w:pPr>
          </w:p>
        </w:tc>
        <w:tc>
          <w:tcPr>
            <w:tcW w:w="1500" w:type="dxa"/>
            <w:vAlign w:val="bottom"/>
            <w:gridSpan w:val="3"/>
          </w:tcPr>
          <w:p>
            <w:pPr>
              <w:jc w:val="center"/>
              <w:ind w:left="194"/>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3"/>
          </w:tcPr>
          <w:p>
            <w:pPr>
              <w:jc w:val="center"/>
              <w:ind w:left="214"/>
              <w:spacing w:after="0"/>
              <w:rPr>
                <w:sz w:val="20"/>
                <w:szCs w:val="20"/>
                <w:color w:val="auto"/>
              </w:rPr>
            </w:pPr>
            <w:r>
              <w:rPr>
                <w:rFonts w:ascii="Arial" w:cs="Arial" w:eastAsia="Arial" w:hAnsi="Arial"/>
                <w:sz w:val="11"/>
                <w:szCs w:val="11"/>
                <w:b w:val="1"/>
                <w:bCs w:val="1"/>
                <w:color w:val="auto"/>
                <w:w w:val="97"/>
              </w:rPr>
              <w:t>December 31,</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3"/>
          </w:tcPr>
          <w:p>
            <w:pPr>
              <w:jc w:val="center"/>
              <w:ind w:left="194"/>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20" w:type="dxa"/>
            <w:vAlign w:val="bottom"/>
            <w:tcBorders>
              <w:bottom w:val="single" w:sz="8" w:color="CCEEFF"/>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760</w:t>
            </w: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74"/>
        </w:trPr>
        <w:tc>
          <w:tcPr>
            <w:tcW w:w="3420" w:type="dxa"/>
            <w:vAlign w:val="bottom"/>
          </w:tcPr>
          <w:p>
            <w:pPr>
              <w:ind w:left="20"/>
              <w:spacing w:after="0"/>
              <w:rPr>
                <w:sz w:val="20"/>
                <w:szCs w:val="20"/>
                <w:color w:val="auto"/>
              </w:rPr>
            </w:pPr>
            <w:r>
              <w:rPr>
                <w:rFonts w:ascii="Arial" w:cs="Arial" w:eastAsia="Arial" w:hAnsi="Arial"/>
                <w:sz w:val="14"/>
                <w:szCs w:val="14"/>
                <w:color w:val="auto"/>
              </w:rPr>
              <w:t>740-759</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8,497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7,685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720-739</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3420" w:type="dxa"/>
            <w:vAlign w:val="bottom"/>
          </w:tcPr>
          <w:p>
            <w:pPr>
              <w:ind w:left="20"/>
              <w:spacing w:after="0"/>
              <w:rPr>
                <w:sz w:val="20"/>
                <w:szCs w:val="20"/>
                <w:color w:val="auto"/>
              </w:rPr>
            </w:pPr>
            <w:r>
              <w:rPr>
                <w:rFonts w:ascii="Arial" w:cs="Arial" w:eastAsia="Arial" w:hAnsi="Arial"/>
                <w:sz w:val="14"/>
                <w:szCs w:val="14"/>
                <w:color w:val="auto"/>
              </w:rPr>
              <w:t>700-719</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6,907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6,579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5,464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680-699</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4"/>
        </w:trPr>
        <w:tc>
          <w:tcPr>
            <w:tcW w:w="34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660-679 </w:t>
            </w:r>
            <w:r>
              <w:rPr>
                <w:rFonts w:ascii="Arial" w:cs="Arial" w:eastAsia="Arial" w:hAnsi="Arial"/>
                <w:sz w:val="17"/>
                <w:szCs w:val="17"/>
                <w:color w:val="auto"/>
                <w:vertAlign w:val="superscript"/>
              </w:rPr>
              <w:t>(1)</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640-659</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3420" w:type="dxa"/>
            <w:vAlign w:val="bottom"/>
          </w:tcPr>
          <w:p>
            <w:pPr>
              <w:ind w:left="20"/>
              <w:spacing w:after="0"/>
              <w:rPr>
                <w:sz w:val="20"/>
                <w:szCs w:val="20"/>
                <w:color w:val="auto"/>
              </w:rPr>
            </w:pPr>
            <w:r>
              <w:rPr>
                <w:rFonts w:ascii="Arial" w:cs="Arial" w:eastAsia="Arial" w:hAnsi="Arial"/>
                <w:sz w:val="14"/>
                <w:szCs w:val="14"/>
                <w:color w:val="auto"/>
              </w:rPr>
              <w:t>620-639</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&lt;620</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5"/>
        </w:trPr>
        <w:tc>
          <w:tcPr>
            <w:tcW w:w="3420" w:type="dxa"/>
            <w:vAlign w:val="bottom"/>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56,881</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52,475</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46,246</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42"/>
        </w:numPr>
        <w:rPr>
          <w:rFonts w:ascii="Arial" w:cs="Arial" w:eastAsia="Arial" w:hAnsi="Arial"/>
          <w:sz w:val="14"/>
          <w:szCs w:val="14"/>
          <w:color w:val="auto"/>
          <w:vertAlign w:val="superscript"/>
        </w:rPr>
      </w:pPr>
      <w:r>
        <w:rPr>
          <w:rFonts w:ascii="Arial" w:cs="Arial" w:eastAsia="Arial" w:hAnsi="Arial"/>
          <w:sz w:val="11"/>
          <w:szCs w:val="11"/>
          <w:color w:val="auto"/>
        </w:rPr>
        <w:t>Loans with unknown FICO scores are included in the 660-679 category.</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Delinquent loans and claims</w:t>
      </w:r>
    </w:p>
    <w:p>
      <w:pPr>
        <w:spacing w:after="0" w:line="140" w:lineRule="exact"/>
        <w:rPr>
          <w:sz w:val="20"/>
          <w:szCs w:val="20"/>
          <w:color w:val="auto"/>
        </w:rPr>
      </w:pPr>
    </w:p>
    <w:p>
      <w:pPr>
        <w:jc w:val="both"/>
        <w:ind w:firstLine="246"/>
        <w:spacing w:after="0" w:line="267" w:lineRule="auto"/>
        <w:rPr>
          <w:sz w:val="20"/>
          <w:szCs w:val="20"/>
          <w:color w:val="auto"/>
        </w:rPr>
      </w:pPr>
      <w:r>
        <w:rPr>
          <w:rFonts w:ascii="Arial" w:cs="Arial" w:eastAsia="Arial" w:hAnsi="Arial"/>
          <w:sz w:val="13"/>
          <w:szCs w:val="13"/>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 The following table shows a roll forward of the number of primary loans in default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(Loan count)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delinquencies, beginning of period</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16,860</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New defaults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32,624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85,074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33,236</w:t>
            </w: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(55,396)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(31,363)</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Claims paid</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(2,323)</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Rescissions and claim denials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Number of delinquencies, end of period</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44,904</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16,392</w:t>
            </w: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29"/>
        </w:trPr>
        <w:tc>
          <w:tcPr>
            <w:tcW w:w="7360" w:type="dxa"/>
            <w:vAlign w:val="bottom"/>
            <w:gridSpan w:val="2"/>
          </w:tcPr>
          <w:p>
            <w:pPr>
              <w:ind w:left="240"/>
              <w:spacing w:after="0"/>
              <w:rPr>
                <w:sz w:val="20"/>
                <w:szCs w:val="20"/>
                <w:color w:val="auto"/>
              </w:rPr>
            </w:pPr>
            <w:r>
              <w:rPr>
                <w:rFonts w:ascii="Arial" w:cs="Arial" w:eastAsia="Arial" w:hAnsi="Arial"/>
                <w:sz w:val="14"/>
                <w:szCs w:val="14"/>
                <w:color w:val="auto"/>
              </w:rPr>
              <w:t>The following table sets forth changes in our direct primary case loss reserves for the years ended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xml:space="preserve">(Amounts in thousands) </w:t>
            </w:r>
            <w:r>
              <w:rPr>
                <w:rFonts w:ascii="Arial" w:cs="Arial" w:eastAsia="Arial" w:hAnsi="Arial"/>
                <w:sz w:val="7"/>
                <w:szCs w:val="7"/>
                <w:b w:val="1"/>
                <w:bCs w:val="1"/>
                <w:color w:val="auto"/>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reserves, beginning of period</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516,863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204,749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262,171</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Claims paid</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(32,816)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(52,389)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(103,578)</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reserves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122,055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364,503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46,156</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Loss reserves, end of period</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606,102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516,863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204,749</w:t>
            </w: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43"/>
        </w:numPr>
        <w:rPr>
          <w:rFonts w:ascii="Arial" w:cs="Arial" w:eastAsia="Arial" w:hAnsi="Arial"/>
          <w:sz w:val="14"/>
          <w:szCs w:val="14"/>
          <w:color w:val="auto"/>
          <w:vertAlign w:val="superscript"/>
        </w:rPr>
      </w:pPr>
      <w:r>
        <w:rPr>
          <w:rFonts w:ascii="Arial" w:cs="Arial" w:eastAsia="Arial" w:hAnsi="Arial"/>
          <w:sz w:val="11"/>
          <w:szCs w:val="11"/>
          <w:color w:val="auto"/>
        </w:rPr>
        <w:t>Direct primary case reserves exclude LAE, pool, IBNR and reinsurance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6" w:name="page107"/>
    <w:bookmarkEnd w:id="106"/>
    <w:p>
      <w:pPr>
        <w:ind w:left="240"/>
        <w:spacing w:after="0"/>
        <w:rPr>
          <w:sz w:val="20"/>
          <w:szCs w:val="20"/>
          <w:color w:val="auto"/>
        </w:rPr>
      </w:pPr>
      <w:r>
        <w:rPr>
          <w:rFonts w:ascii="Arial" w:cs="Arial" w:eastAsia="Arial" w:hAnsi="Arial"/>
          <w:sz w:val="14"/>
          <w:szCs w:val="14"/>
          <w:color w:val="auto"/>
        </w:rPr>
        <w:t>The following tables set forth primary delinquencies, direct case reserves and RIF by aged missed payment status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9"/>
          </w:tcPr>
          <w:p>
            <w:pPr>
              <w:ind w:left="780"/>
              <w:spacing w:after="0"/>
              <w:rPr>
                <w:sz w:val="20"/>
                <w:szCs w:val="20"/>
                <w:color w:val="auto"/>
              </w:rPr>
            </w:pPr>
            <w:r>
              <w:rPr>
                <w:rFonts w:ascii="Arial" w:cs="Arial" w:eastAsia="Arial" w:hAnsi="Arial"/>
                <w:sz w:val="11"/>
                <w:szCs w:val="11"/>
                <w:b w:val="1"/>
                <w:bCs w:val="1"/>
                <w:color w:val="auto"/>
              </w:rPr>
              <w:t>December 31, 2021</w:t>
            </w:r>
          </w:p>
        </w:tc>
        <w:tc>
          <w:tcPr>
            <w:tcW w:w="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3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132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rPr>
              <w:t>Delinquencies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ind w:left="200"/>
              <w:spacing w:after="0" w:line="103" w:lineRule="exact"/>
              <w:rPr>
                <w:sz w:val="20"/>
                <w:szCs w:val="20"/>
                <w:color w:val="auto"/>
              </w:rPr>
            </w:pPr>
            <w:r>
              <w:rPr>
                <w:rFonts w:ascii="Arial" w:cs="Arial" w:eastAsia="Arial" w:hAnsi="Arial"/>
                <w:sz w:val="11"/>
                <w:szCs w:val="11"/>
                <w:b w:val="1"/>
                <w:bCs w:val="1"/>
                <w:color w:val="auto"/>
              </w:rPr>
              <w:t>Direct case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center"/>
              <w:ind w:right="500"/>
              <w:spacing w:after="0" w:line="103" w:lineRule="exact"/>
              <w:rPr>
                <w:sz w:val="20"/>
                <w:szCs w:val="20"/>
                <w:color w:val="auto"/>
              </w:rPr>
            </w:pPr>
            <w:r>
              <w:rPr>
                <w:rFonts w:ascii="Arial" w:cs="Arial" w:eastAsia="Arial" w:hAnsi="Arial"/>
                <w:sz w:val="11"/>
                <w:szCs w:val="11"/>
                <w:b w:val="1"/>
                <w:bCs w:val="1"/>
                <w:color w:val="auto"/>
              </w:rPr>
              <w:t>Risk</w:t>
            </w:r>
          </w:p>
        </w:tc>
        <w:tc>
          <w:tcPr>
            <w:tcW w:w="16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Reserves as % of risk in-force</w:t>
            </w:r>
          </w:p>
        </w:tc>
        <w:tc>
          <w:tcPr>
            <w:tcW w:w="0" w:type="dxa"/>
            <w:vAlign w:val="bottom"/>
          </w:tcPr>
          <w:p>
            <w:pPr>
              <w:spacing w:after="0"/>
              <w:rPr>
                <w:sz w:val="1"/>
                <w:szCs w:val="1"/>
                <w:color w:val="auto"/>
              </w:rPr>
            </w:pPr>
          </w:p>
        </w:tc>
      </w:tr>
      <w:tr>
        <w:trPr>
          <w:trHeight w:val="133"/>
        </w:trPr>
        <w:tc>
          <w:tcPr>
            <w:tcW w:w="5380" w:type="dxa"/>
            <w:vAlign w:val="bottom"/>
            <w:gridSpan w:val="3"/>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200"/>
              <w:spacing w:after="0" w:line="133" w:lineRule="exact"/>
              <w:rPr>
                <w:sz w:val="20"/>
                <w:szCs w:val="20"/>
                <w:color w:val="auto"/>
              </w:rPr>
            </w:pPr>
            <w:r>
              <w:rPr>
                <w:rFonts w:ascii="Arial" w:cs="Arial" w:eastAsia="Arial" w:hAnsi="Arial"/>
                <w:sz w:val="11"/>
                <w:szCs w:val="11"/>
                <w:b w:val="1"/>
                <w:bCs w:val="1"/>
                <w:color w:val="auto"/>
              </w:rPr>
              <w:t xml:space="preserve">reserves </w:t>
            </w:r>
            <w:r>
              <w:rPr>
                <w:rFonts w:ascii="Arial" w:cs="Arial" w:eastAsia="Arial" w:hAnsi="Arial"/>
                <w:sz w:val="14"/>
                <w:szCs w:val="14"/>
                <w:b w:val="1"/>
                <w:bCs w:val="1"/>
                <w:color w:val="auto"/>
                <w:vertAlign w:val="superscript"/>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99"/>
              </w:rPr>
              <w:t>in-force</w:t>
            </w: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Payments in default:</w:t>
            </w:r>
          </w:p>
        </w:tc>
        <w:tc>
          <w:tcPr>
            <w:tcW w:w="1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80" w:type="dxa"/>
            <w:vAlign w:val="bottom"/>
            <w:gridSpan w:val="3"/>
          </w:tcPr>
          <w:p>
            <w:pPr>
              <w:ind w:left="20"/>
              <w:spacing w:after="0"/>
              <w:rPr>
                <w:sz w:val="20"/>
                <w:szCs w:val="20"/>
                <w:color w:val="auto"/>
              </w:rPr>
            </w:pPr>
            <w:r>
              <w:rPr>
                <w:rFonts w:ascii="Arial" w:cs="Arial" w:eastAsia="Arial" w:hAnsi="Arial"/>
                <w:sz w:val="14"/>
                <w:szCs w:val="14"/>
                <w:color w:val="auto"/>
              </w:rPr>
              <w:t>3 payments or less</w:t>
            </w:r>
          </w:p>
        </w:tc>
        <w:tc>
          <w:tcPr>
            <w:tcW w:w="1440" w:type="dxa"/>
            <w:vAlign w:val="bottom"/>
            <w:gridSpan w:val="4"/>
          </w:tcPr>
          <w:p>
            <w:pPr>
              <w:jc w:val="right"/>
              <w:spacing w:after="0"/>
              <w:rPr>
                <w:sz w:val="20"/>
                <w:szCs w:val="20"/>
                <w:color w:val="auto"/>
              </w:rPr>
            </w:pPr>
            <w:r>
              <w:rPr>
                <w:rFonts w:ascii="Arial" w:cs="Arial" w:eastAsia="Arial" w:hAnsi="Arial"/>
                <w:sz w:val="14"/>
                <w:szCs w:val="14"/>
                <w:color w:val="auto"/>
              </w:rPr>
              <w:t>6,586</w:t>
            </w:r>
          </w:p>
        </w:tc>
        <w:tc>
          <w:tcPr>
            <w:tcW w:w="8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940"/>
              <w:spacing w:after="0"/>
              <w:rPr>
                <w:sz w:val="20"/>
                <w:szCs w:val="20"/>
                <w:color w:val="auto"/>
              </w:rPr>
            </w:pPr>
            <w:r>
              <w:rPr>
                <w:rFonts w:ascii="Arial" w:cs="Arial" w:eastAsia="Arial" w:hAnsi="Arial"/>
                <w:sz w:val="14"/>
                <w:szCs w:val="14"/>
                <w:color w:val="auto"/>
              </w:rPr>
              <w:t>35</w:t>
            </w:r>
          </w:p>
        </w:tc>
        <w:tc>
          <w:tcPr>
            <w:tcW w:w="520" w:type="dxa"/>
            <w:vAlign w:val="bottom"/>
            <w:gridSpan w:val="3"/>
          </w:tcPr>
          <w:p>
            <w:pPr>
              <w:jc w:val="right"/>
              <w:ind w:right="27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5"/>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4 - 11 payments</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4"/>
        </w:trPr>
        <w:tc>
          <w:tcPr>
            <w:tcW w:w="53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12 payments or more</w:t>
            </w: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10,874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color w:val="auto"/>
              </w:rPr>
              <w:t>460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185"/>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24,820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680"/>
              <w:spacing w:after="0"/>
              <w:rPr>
                <w:sz w:val="20"/>
                <w:szCs w:val="20"/>
                <w:color w:val="auto"/>
              </w:rPr>
            </w:pPr>
            <w:r>
              <w:rPr>
                <w:rFonts w:ascii="Arial" w:cs="Arial" w:eastAsia="Arial" w:hAnsi="Arial"/>
                <w:sz w:val="11"/>
                <w:szCs w:val="11"/>
                <w:b w:val="1"/>
                <w:bCs w:val="1"/>
                <w:color w:val="auto"/>
                <w:w w:val="96"/>
              </w:rPr>
              <w:t>December 31, 2020</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3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13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Delinquencies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ind w:left="60"/>
              <w:spacing w:after="0" w:line="103" w:lineRule="exact"/>
              <w:rPr>
                <w:sz w:val="20"/>
                <w:szCs w:val="20"/>
                <w:color w:val="auto"/>
              </w:rPr>
            </w:pPr>
            <w:r>
              <w:rPr>
                <w:rFonts w:ascii="Arial" w:cs="Arial" w:eastAsia="Arial" w:hAnsi="Arial"/>
                <w:sz w:val="11"/>
                <w:szCs w:val="11"/>
                <w:b w:val="1"/>
                <w:bCs w:val="1"/>
                <w:color w:val="auto"/>
              </w:rPr>
              <w:t>Direct case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center"/>
              <w:ind w:right="520"/>
              <w:spacing w:after="0" w:line="103" w:lineRule="exact"/>
              <w:rPr>
                <w:sz w:val="20"/>
                <w:szCs w:val="20"/>
                <w:color w:val="auto"/>
              </w:rPr>
            </w:pPr>
            <w:r>
              <w:rPr>
                <w:rFonts w:ascii="Arial" w:cs="Arial" w:eastAsia="Arial" w:hAnsi="Arial"/>
                <w:sz w:val="11"/>
                <w:szCs w:val="11"/>
                <w:b w:val="1"/>
                <w:bCs w:val="1"/>
                <w:color w:val="auto"/>
                <w:w w:val="94"/>
              </w:rPr>
              <w:t>Risk</w:t>
            </w:r>
          </w:p>
        </w:tc>
        <w:tc>
          <w:tcPr>
            <w:tcW w:w="60" w:type="dxa"/>
            <w:vAlign w:val="bottom"/>
          </w:tcPr>
          <w:p>
            <w:pPr>
              <w:spacing w:after="0"/>
              <w:rPr>
                <w:sz w:val="8"/>
                <w:szCs w:val="8"/>
                <w:color w:val="auto"/>
              </w:rPr>
            </w:pPr>
          </w:p>
        </w:tc>
        <w:tc>
          <w:tcPr>
            <w:tcW w:w="156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Reserves as % of risk in-</w:t>
            </w:r>
          </w:p>
        </w:tc>
        <w:tc>
          <w:tcPr>
            <w:tcW w:w="0" w:type="dxa"/>
            <w:vAlign w:val="bottom"/>
          </w:tcPr>
          <w:p>
            <w:pPr>
              <w:spacing w:after="0"/>
              <w:rPr>
                <w:sz w:val="1"/>
                <w:szCs w:val="1"/>
                <w:color w:val="auto"/>
              </w:rPr>
            </w:pPr>
          </w:p>
        </w:tc>
      </w:tr>
      <w:tr>
        <w:trPr>
          <w:trHeight w:val="133"/>
        </w:trPr>
        <w:tc>
          <w:tcPr>
            <w:tcW w:w="5380" w:type="dxa"/>
            <w:vAlign w:val="bottom"/>
            <w:gridSpan w:val="3"/>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1"/>
                <w:szCs w:val="11"/>
                <w:b w:val="1"/>
                <w:bCs w:val="1"/>
                <w:color w:val="auto"/>
              </w:rPr>
              <w:t xml:space="preserve">reserves </w:t>
            </w:r>
            <w:r>
              <w:rPr>
                <w:rFonts w:ascii="Arial" w:cs="Arial" w:eastAsia="Arial" w:hAnsi="Arial"/>
                <w:sz w:val="14"/>
                <w:szCs w:val="14"/>
                <w:b w:val="1"/>
                <w:bCs w:val="1"/>
                <w:color w:val="auto"/>
                <w:vertAlign w:val="superscript"/>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w w:val="99"/>
              </w:rPr>
              <w:t>in-force</w:t>
            </w:r>
          </w:p>
        </w:tc>
        <w:tc>
          <w:tcPr>
            <w:tcW w:w="6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6"/>
              </w:rPr>
              <w:t>force</w:t>
            </w:r>
          </w:p>
        </w:tc>
        <w:tc>
          <w:tcPr>
            <w:tcW w:w="0" w:type="dxa"/>
            <w:vAlign w:val="bottom"/>
          </w:tcPr>
          <w:p>
            <w:pPr>
              <w:spacing w:after="0"/>
              <w:rPr>
                <w:sz w:val="1"/>
                <w:szCs w:val="1"/>
                <w:color w:val="auto"/>
              </w:rPr>
            </w:pPr>
          </w:p>
        </w:tc>
      </w:tr>
      <w:tr>
        <w:trPr>
          <w:trHeight w:val="154"/>
        </w:trPr>
        <w:tc>
          <w:tcPr>
            <w:tcW w:w="518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Payments in default:</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380" w:type="dxa"/>
            <w:vAlign w:val="bottom"/>
            <w:gridSpan w:val="3"/>
          </w:tcPr>
          <w:p>
            <w:pPr>
              <w:ind w:left="180"/>
              <w:spacing w:after="0"/>
              <w:rPr>
                <w:sz w:val="20"/>
                <w:szCs w:val="20"/>
                <w:color w:val="auto"/>
              </w:rPr>
            </w:pPr>
            <w:r>
              <w:rPr>
                <w:rFonts w:ascii="Arial" w:cs="Arial" w:eastAsia="Arial" w:hAnsi="Arial"/>
                <w:sz w:val="14"/>
                <w:szCs w:val="14"/>
                <w:color w:val="auto"/>
              </w:rPr>
              <w:t>3 payments or less</w:t>
            </w:r>
          </w:p>
        </w:tc>
        <w:tc>
          <w:tcPr>
            <w:tcW w:w="1220" w:type="dxa"/>
            <w:vAlign w:val="bottom"/>
          </w:tcPr>
          <w:p>
            <w:pPr>
              <w:jc w:val="right"/>
              <w:spacing w:after="0"/>
              <w:rPr>
                <w:sz w:val="20"/>
                <w:szCs w:val="20"/>
                <w:color w:val="auto"/>
              </w:rPr>
            </w:pPr>
            <w:r>
              <w:rPr>
                <w:rFonts w:ascii="Arial" w:cs="Arial" w:eastAsia="Arial" w:hAnsi="Arial"/>
                <w:sz w:val="14"/>
                <w:szCs w:val="14"/>
                <w:color w:val="auto"/>
              </w:rPr>
              <w:t>10,484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352"/>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549</w:t>
            </w:r>
          </w:p>
        </w:tc>
        <w:tc>
          <w:tcPr>
            <w:tcW w:w="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5"/>
        </w:trPr>
        <w:tc>
          <w:tcPr>
            <w:tcW w:w="53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4 - 11 payments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331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1,853</w:t>
            </w:r>
          </w:p>
        </w:tc>
        <w:tc>
          <w:tcPr>
            <w:tcW w:w="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74"/>
        </w:trPr>
        <w:tc>
          <w:tcPr>
            <w:tcW w:w="5380" w:type="dxa"/>
            <w:vAlign w:val="bottom"/>
            <w:gridSpan w:val="3"/>
          </w:tcPr>
          <w:p>
            <w:pPr>
              <w:ind w:left="180"/>
              <w:spacing w:after="0"/>
              <w:rPr>
                <w:sz w:val="20"/>
                <w:szCs w:val="20"/>
                <w:color w:val="auto"/>
              </w:rPr>
            </w:pPr>
            <w:r>
              <w:rPr>
                <w:rFonts w:ascii="Arial" w:cs="Arial" w:eastAsia="Arial" w:hAnsi="Arial"/>
                <w:sz w:val="14"/>
                <w:szCs w:val="14"/>
                <w:color w:val="auto"/>
              </w:rPr>
              <w:t>12 payments or more</w:t>
            </w:r>
          </w:p>
        </w:tc>
        <w:tc>
          <w:tcPr>
            <w:tcW w:w="1220" w:type="dxa"/>
            <w:vAlign w:val="bottom"/>
          </w:tcPr>
          <w:p>
            <w:pPr>
              <w:jc w:val="right"/>
              <w:spacing w:after="0"/>
              <w:rPr>
                <w:sz w:val="20"/>
                <w:szCs w:val="20"/>
                <w:color w:val="auto"/>
              </w:rPr>
            </w:pPr>
            <w:r>
              <w:rPr>
                <w:rFonts w:ascii="Arial" w:cs="Arial" w:eastAsia="Arial" w:hAnsi="Arial"/>
                <w:sz w:val="14"/>
                <w:szCs w:val="14"/>
                <w:color w:val="auto"/>
              </w:rPr>
              <w:t>4,096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204</w:t>
            </w:r>
          </w:p>
        </w:tc>
        <w:tc>
          <w:tcPr>
            <w:tcW w:w="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Total</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44,904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517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gridSpan w:val="3"/>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680"/>
              <w:spacing w:after="0"/>
              <w:rPr>
                <w:sz w:val="20"/>
                <w:szCs w:val="20"/>
                <w:color w:val="auto"/>
              </w:rPr>
            </w:pPr>
            <w:r>
              <w:rPr>
                <w:rFonts w:ascii="Arial" w:cs="Arial" w:eastAsia="Arial" w:hAnsi="Arial"/>
                <w:sz w:val="11"/>
                <w:szCs w:val="11"/>
                <w:b w:val="1"/>
                <w:bCs w:val="1"/>
                <w:color w:val="auto"/>
                <w:w w:val="96"/>
              </w:rPr>
              <w:t>December 31, 2019</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3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13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Delinquencies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ind w:left="60"/>
              <w:spacing w:after="0" w:line="103" w:lineRule="exact"/>
              <w:rPr>
                <w:sz w:val="20"/>
                <w:szCs w:val="20"/>
                <w:color w:val="auto"/>
              </w:rPr>
            </w:pPr>
            <w:r>
              <w:rPr>
                <w:rFonts w:ascii="Arial" w:cs="Arial" w:eastAsia="Arial" w:hAnsi="Arial"/>
                <w:sz w:val="11"/>
                <w:szCs w:val="11"/>
                <w:b w:val="1"/>
                <w:bCs w:val="1"/>
                <w:color w:val="auto"/>
              </w:rPr>
              <w:t>Direct case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center"/>
              <w:ind w:right="520"/>
              <w:spacing w:after="0" w:line="103" w:lineRule="exact"/>
              <w:rPr>
                <w:sz w:val="20"/>
                <w:szCs w:val="20"/>
                <w:color w:val="auto"/>
              </w:rPr>
            </w:pPr>
            <w:r>
              <w:rPr>
                <w:rFonts w:ascii="Arial" w:cs="Arial" w:eastAsia="Arial" w:hAnsi="Arial"/>
                <w:sz w:val="11"/>
                <w:szCs w:val="11"/>
                <w:b w:val="1"/>
                <w:bCs w:val="1"/>
                <w:color w:val="auto"/>
                <w:w w:val="94"/>
              </w:rPr>
              <w:t>Risk</w:t>
            </w:r>
          </w:p>
        </w:tc>
        <w:tc>
          <w:tcPr>
            <w:tcW w:w="60" w:type="dxa"/>
            <w:vAlign w:val="bottom"/>
          </w:tcPr>
          <w:p>
            <w:pPr>
              <w:spacing w:after="0"/>
              <w:rPr>
                <w:sz w:val="8"/>
                <w:szCs w:val="8"/>
                <w:color w:val="auto"/>
              </w:rPr>
            </w:pPr>
          </w:p>
        </w:tc>
        <w:tc>
          <w:tcPr>
            <w:tcW w:w="156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Reserves as % of risk in-</w:t>
            </w:r>
          </w:p>
        </w:tc>
        <w:tc>
          <w:tcPr>
            <w:tcW w:w="0" w:type="dxa"/>
            <w:vAlign w:val="bottom"/>
          </w:tcPr>
          <w:p>
            <w:pPr>
              <w:spacing w:after="0"/>
              <w:rPr>
                <w:sz w:val="1"/>
                <w:szCs w:val="1"/>
                <w:color w:val="auto"/>
              </w:rPr>
            </w:pPr>
          </w:p>
        </w:tc>
      </w:tr>
      <w:tr>
        <w:trPr>
          <w:trHeight w:val="133"/>
        </w:trPr>
        <w:tc>
          <w:tcPr>
            <w:tcW w:w="5380" w:type="dxa"/>
            <w:vAlign w:val="bottom"/>
            <w:gridSpan w:val="3"/>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 xml:space="preserve">reserves </w:t>
            </w:r>
            <w:r>
              <w:rPr>
                <w:rFonts w:ascii="Arial" w:cs="Arial" w:eastAsia="Arial" w:hAnsi="Arial"/>
                <w:sz w:val="7"/>
                <w:szCs w:val="7"/>
                <w:b w:val="1"/>
                <w:bCs w:val="1"/>
                <w:color w:val="auto"/>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99"/>
              </w:rPr>
              <w:t>in-force</w:t>
            </w:r>
          </w:p>
        </w:tc>
        <w:tc>
          <w:tcPr>
            <w:tcW w:w="6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6"/>
              </w:rPr>
              <w:t>force</w:t>
            </w:r>
          </w:p>
        </w:tc>
        <w:tc>
          <w:tcPr>
            <w:tcW w:w="0" w:type="dxa"/>
            <w:vAlign w:val="bottom"/>
          </w:tcPr>
          <w:p>
            <w:pPr>
              <w:spacing w:after="0"/>
              <w:rPr>
                <w:sz w:val="1"/>
                <w:szCs w:val="1"/>
                <w:color w:val="auto"/>
              </w:rPr>
            </w:pPr>
          </w:p>
        </w:tc>
      </w:tr>
      <w:tr>
        <w:trPr>
          <w:trHeight w:val="154"/>
        </w:trPr>
        <w:tc>
          <w:tcPr>
            <w:tcW w:w="5200" w:type="dxa"/>
            <w:vAlign w:val="bottom"/>
            <w:tcBorders>
              <w:top w:val="single" w:sz="8" w:color="CCEEFF"/>
            </w:tcBorders>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Payments in default:</w:t>
            </w: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380" w:type="dxa"/>
            <w:vAlign w:val="bottom"/>
            <w:gridSpan w:val="3"/>
          </w:tcPr>
          <w:p>
            <w:pPr>
              <w:ind w:left="180"/>
              <w:spacing w:after="0"/>
              <w:rPr>
                <w:sz w:val="20"/>
                <w:szCs w:val="20"/>
                <w:color w:val="auto"/>
              </w:rPr>
            </w:pPr>
            <w:r>
              <w:rPr>
                <w:rFonts w:ascii="Arial" w:cs="Arial" w:eastAsia="Arial" w:hAnsi="Arial"/>
                <w:sz w:val="14"/>
                <w:szCs w:val="14"/>
                <w:color w:val="auto"/>
              </w:rPr>
              <w:t>3 payments or less</w:t>
            </w:r>
          </w:p>
        </w:tc>
        <w:tc>
          <w:tcPr>
            <w:tcW w:w="1220" w:type="dxa"/>
            <w:vAlign w:val="bottom"/>
          </w:tcPr>
          <w:p>
            <w:pPr>
              <w:jc w:val="right"/>
              <w:spacing w:after="0"/>
              <w:rPr>
                <w:sz w:val="20"/>
                <w:szCs w:val="20"/>
                <w:color w:val="auto"/>
              </w:rPr>
            </w:pPr>
            <w:r>
              <w:rPr>
                <w:rFonts w:ascii="Arial" w:cs="Arial" w:eastAsia="Arial" w:hAnsi="Arial"/>
                <w:sz w:val="14"/>
                <w:szCs w:val="14"/>
                <w:color w:val="auto"/>
              </w:rPr>
              <w:t>8,618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352"/>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75"/>
        </w:trPr>
        <w:tc>
          <w:tcPr>
            <w:tcW w:w="53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4 - 11 payments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78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w:t>
            </w:r>
          </w:p>
        </w:tc>
        <w:tc>
          <w:tcPr>
            <w:tcW w:w="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74"/>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12 payments or more</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99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146</w:t>
            </w:r>
          </w:p>
        </w:tc>
        <w:tc>
          <w:tcPr>
            <w:tcW w:w="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5"/>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205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757</w:t>
            </w: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44"/>
        </w:numPr>
        <w:rPr>
          <w:rFonts w:ascii="Arial" w:cs="Arial" w:eastAsia="Arial" w:hAnsi="Arial"/>
          <w:sz w:val="14"/>
          <w:szCs w:val="14"/>
          <w:color w:val="auto"/>
          <w:vertAlign w:val="superscript"/>
        </w:rPr>
      </w:pPr>
      <w:r>
        <w:rPr>
          <w:rFonts w:ascii="Arial" w:cs="Arial" w:eastAsia="Arial" w:hAnsi="Arial"/>
          <w:sz w:val="11"/>
          <w:szCs w:val="11"/>
          <w:color w:val="auto"/>
        </w:rPr>
        <w:t>Direct primary case reserves exclude LAE, pool, IBNR and reinsurance reserves.</w:t>
      </w:r>
    </w:p>
    <w:p>
      <w:pPr>
        <w:spacing w:after="0" w:line="15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total increase in reserves as a percentage of RIF as of December 31, 2021 compared to December 31, 2020 was primarily driven by higher reserves in relation to a decrease in delinquent RIF. Delinquent RIF decreased mainly from lower total delinquencies as cures outpaced new delinquencies in 2021, while reserves increased in the current year primarily from new delinquencies, partially offset by net favorable reserve adjustments related to pre-COVID-19 delinquencies.</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of December 31, 2021, we have experienced an increase in loans that are delinquent for 12 months or more due in large part to borrowers entering a forbearance plan over a year ago driven by COVID-19. Our current reserve estimate assumes that remaining delinquencies will have a higher likelihood of going to claim given foreclosure moratoriums and the uncertainty around the lack of progression through the foreclosure process. Forbearance plans may be extended up to 18 months, therefore, we could experience elevated delinquencies in this aged category during 2022. Resolution of a delinquency in a forbearance plan, whether it ultimately results in a cure or a claim, is difficult to estimate and may not be known for several quarters, if not longer.</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ratio of the claim paid to the current risk in-force for a loan is referred to as “claim severity.” The current risk in-force is equal to the unpaid principal amount multiplied by the coverage percentage.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7" w:name="page108"/>
    <w:bookmarkEnd w:id="107"/>
    <w:p>
      <w:pPr>
        <w:jc w:val="both"/>
        <w:spacing w:after="0" w:line="246" w:lineRule="auto"/>
        <w:rPr>
          <w:sz w:val="20"/>
          <w:szCs w:val="20"/>
          <w:color w:val="auto"/>
        </w:rPr>
      </w:pPr>
      <w:r>
        <w:rPr>
          <w:rFonts w:ascii="Arial" w:cs="Arial" w:eastAsia="Arial" w:hAnsi="Arial"/>
          <w:sz w:val="14"/>
          <w:szCs w:val="14"/>
          <w:color w:val="auto"/>
        </w:rPr>
        <w:t>main determinants of claim severity are the age of the mortgage loan, the value of the underlying property, accrued interest on the loan, expenses advanced by the insured and foreclosure expenses. These amounts depend partly upon the time required to complete foreclosure, which varies depending upon state laws. Pre-foreclosure sales, acquisitions and other early workout and claim administration actions help to reduce overall claim severity. Our average primary mortgage insurance claim severity was 103%, 106% and 112% for the years ended December 31, 2021, 2020 and 2019, respectively. The average claim severities do not include the effects of agreements on non-performing loans.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The table below sets forth our primary delinquency rates for the ten largest states by our primary RIF as of December 31,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jc w:val="center"/>
              <w:ind w:left="385"/>
              <w:spacing w:after="0"/>
              <w:rPr>
                <w:sz w:val="20"/>
                <w:szCs w:val="20"/>
                <w:color w:val="auto"/>
              </w:rPr>
            </w:pPr>
            <w:r>
              <w:rPr>
                <w:rFonts w:ascii="Arial" w:cs="Arial" w:eastAsia="Arial" w:hAnsi="Arial"/>
                <w:sz w:val="11"/>
                <w:szCs w:val="11"/>
                <w:b w:val="1"/>
                <w:bCs w:val="1"/>
                <w:color w:val="auto"/>
                <w:w w:val="99"/>
              </w:rPr>
              <w:t>Percent of direct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vMerge w:val="restart"/>
          </w:tcPr>
          <w:p>
            <w:pPr>
              <w:jc w:val="right"/>
              <w:ind w:right="501"/>
              <w:spacing w:after="0"/>
              <w:rPr>
                <w:sz w:val="20"/>
                <w:szCs w:val="20"/>
                <w:color w:val="auto"/>
              </w:rPr>
            </w:pPr>
            <w:r>
              <w:rPr>
                <w:rFonts w:ascii="Arial" w:cs="Arial" w:eastAsia="Arial" w:hAnsi="Arial"/>
                <w:sz w:val="11"/>
                <w:szCs w:val="11"/>
                <w:b w:val="1"/>
                <w:bCs w:val="1"/>
                <w:color w:val="auto"/>
              </w:rPr>
              <w:t>Delinquency</w:t>
            </w:r>
          </w:p>
        </w:tc>
        <w:tc>
          <w:tcPr>
            <w:tcW w:w="0" w:type="dxa"/>
            <w:vAlign w:val="bottom"/>
          </w:tcPr>
          <w:p>
            <w:pPr>
              <w:spacing w:after="0"/>
              <w:rPr>
                <w:sz w:val="1"/>
                <w:szCs w:val="1"/>
                <w:color w:val="auto"/>
              </w:rPr>
            </w:pPr>
          </w:p>
        </w:tc>
      </w:tr>
      <w:tr>
        <w:trPr>
          <w:trHeight w:val="103"/>
        </w:trPr>
        <w:tc>
          <w:tcPr>
            <w:tcW w:w="5820" w:type="dxa"/>
            <w:vAlign w:val="bottom"/>
          </w:tcPr>
          <w:p>
            <w:pPr>
              <w:spacing w:after="0"/>
              <w:rPr>
                <w:sz w:val="8"/>
                <w:szCs w:val="8"/>
                <w:color w:val="auto"/>
              </w:rPr>
            </w:pPr>
          </w:p>
        </w:tc>
        <w:tc>
          <w:tcPr>
            <w:tcW w:w="130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Percent of RIF</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jc w:val="center"/>
              <w:ind w:left="385"/>
              <w:spacing w:after="0" w:line="103" w:lineRule="exact"/>
              <w:rPr>
                <w:sz w:val="20"/>
                <w:szCs w:val="20"/>
                <w:color w:val="auto"/>
              </w:rPr>
            </w:pPr>
            <w:r>
              <w:rPr>
                <w:rFonts w:ascii="Arial" w:cs="Arial" w:eastAsia="Arial" w:hAnsi="Arial"/>
                <w:sz w:val="11"/>
                <w:szCs w:val="11"/>
                <w:b w:val="1"/>
                <w:bCs w:val="1"/>
                <w:color w:val="auto"/>
                <w:w w:val="97"/>
              </w:rPr>
              <w:t>primary case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82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center"/>
              <w:ind w:left="385"/>
              <w:spacing w:after="0"/>
              <w:rPr>
                <w:sz w:val="20"/>
                <w:szCs w:val="20"/>
                <w:color w:val="auto"/>
              </w:rPr>
            </w:pPr>
            <w:r>
              <w:rPr>
                <w:rFonts w:ascii="Arial" w:cs="Arial" w:eastAsia="Arial" w:hAnsi="Arial"/>
                <w:sz w:val="11"/>
                <w:szCs w:val="11"/>
                <w:b w:val="1"/>
                <w:bCs w:val="1"/>
                <w:color w:val="auto"/>
              </w:rPr>
              <w:t>reserves</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760" w:type="dxa"/>
            <w:vAlign w:val="bottom"/>
            <w:tcBorders>
              <w:bottom w:val="single" w:sz="8" w:color="auto"/>
            </w:tcBorders>
          </w:tcPr>
          <w:p>
            <w:pPr>
              <w:jc w:val="right"/>
              <w:ind w:right="721"/>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By State:</w:t>
            </w:r>
          </w:p>
        </w:tc>
        <w:tc>
          <w:tcPr>
            <w:tcW w:w="1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20" w:type="dxa"/>
            <w:vAlign w:val="bottom"/>
          </w:tcPr>
          <w:p>
            <w:pPr>
              <w:ind w:left="20"/>
              <w:spacing w:after="0" w:line="153" w:lineRule="exact"/>
              <w:rPr>
                <w:sz w:val="20"/>
                <w:szCs w:val="20"/>
                <w:color w:val="auto"/>
              </w:rPr>
            </w:pPr>
            <w:r>
              <w:rPr>
                <w:rFonts w:ascii="Arial" w:cs="Arial" w:eastAsia="Arial" w:hAnsi="Arial"/>
                <w:sz w:val="14"/>
                <w:szCs w:val="14"/>
                <w:color w:val="auto"/>
              </w:rPr>
              <w:t>California</w:t>
            </w: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12 %</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3.17 %</w:t>
            </w:r>
          </w:p>
        </w:tc>
        <w:tc>
          <w:tcPr>
            <w:tcW w:w="0" w:type="dxa"/>
            <w:vAlign w:val="bottom"/>
          </w:tcPr>
          <w:p>
            <w:pPr>
              <w:spacing w:after="0"/>
              <w:rPr>
                <w:sz w:val="1"/>
                <w:szCs w:val="1"/>
                <w:color w:val="auto"/>
              </w:rPr>
            </w:pPr>
          </w:p>
        </w:tc>
      </w:tr>
      <w:tr>
        <w:trPr>
          <w:trHeight w:val="17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0" w:type="dxa"/>
            <w:vAlign w:val="bottom"/>
          </w:tcPr>
          <w:p>
            <w:pPr>
              <w:spacing w:after="0"/>
              <w:rPr>
                <w:sz w:val="1"/>
                <w:szCs w:val="1"/>
                <w:color w:val="auto"/>
              </w:rPr>
            </w:pPr>
          </w:p>
        </w:tc>
      </w:tr>
      <w:tr>
        <w:trPr>
          <w:trHeight w:val="174"/>
        </w:trPr>
        <w:tc>
          <w:tcPr>
            <w:tcW w:w="712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Florida </w:t>
            </w:r>
            <w:r>
              <w:rPr>
                <w:rFonts w:ascii="Arial" w:cs="Arial" w:eastAsia="Arial" w:hAnsi="Arial"/>
                <w:sz w:val="17"/>
                <w:szCs w:val="17"/>
                <w:color w:val="auto"/>
                <w:vertAlign w:val="superscript"/>
              </w:rPr>
              <w:t>(1)</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color w:val="auto"/>
              </w:rPr>
              <w:t>9</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2.97 %</w:t>
            </w:r>
          </w:p>
        </w:tc>
        <w:tc>
          <w:tcPr>
            <w:tcW w:w="0" w:type="dxa"/>
            <w:vAlign w:val="bottom"/>
          </w:tcPr>
          <w:p>
            <w:pPr>
              <w:spacing w:after="0"/>
              <w:rPr>
                <w:sz w:val="1"/>
                <w:szCs w:val="1"/>
                <w:color w:val="auto"/>
              </w:rPr>
            </w:pPr>
          </w:p>
        </w:tc>
      </w:tr>
      <w:tr>
        <w:trPr>
          <w:trHeight w:val="174"/>
        </w:trPr>
        <w:tc>
          <w:tcPr>
            <w:tcW w:w="71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New York </w:t>
            </w:r>
            <w:r>
              <w:rPr>
                <w:rFonts w:ascii="Arial" w:cs="Arial" w:eastAsia="Arial" w:hAnsi="Arial"/>
                <w:sz w:val="17"/>
                <w:szCs w:val="17"/>
                <w:color w:val="auto"/>
                <w:vertAlign w:val="superscript"/>
              </w:rPr>
              <w:t>(1)</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3.80 %</w:t>
            </w:r>
          </w:p>
        </w:tc>
        <w:tc>
          <w:tcPr>
            <w:tcW w:w="0" w:type="dxa"/>
            <w:vAlign w:val="bottom"/>
          </w:tcPr>
          <w:p>
            <w:pPr>
              <w:spacing w:after="0"/>
              <w:rPr>
                <w:sz w:val="1"/>
                <w:szCs w:val="1"/>
                <w:color w:val="auto"/>
              </w:rPr>
            </w:pPr>
          </w:p>
        </w:tc>
      </w:tr>
      <w:tr>
        <w:trPr>
          <w:trHeight w:val="174"/>
        </w:trPr>
        <w:tc>
          <w:tcPr>
            <w:tcW w:w="712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Illinois </w:t>
            </w:r>
            <w:r>
              <w:rPr>
                <w:rFonts w:ascii="Arial" w:cs="Arial" w:eastAsia="Arial" w:hAnsi="Arial"/>
                <w:sz w:val="17"/>
                <w:szCs w:val="17"/>
                <w:color w:val="auto"/>
                <w:vertAlign w:val="superscript"/>
              </w:rPr>
              <w:t>(1)</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color w:val="auto"/>
              </w:rPr>
              <w:t>6</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3.09 %</w:t>
            </w:r>
          </w:p>
        </w:tc>
        <w:tc>
          <w:tcPr>
            <w:tcW w:w="0" w:type="dxa"/>
            <w:vAlign w:val="bottom"/>
          </w:tcPr>
          <w:p>
            <w:pPr>
              <w:spacing w:after="0"/>
              <w:rPr>
                <w:sz w:val="1"/>
                <w:szCs w:val="1"/>
                <w:color w:val="auto"/>
              </w:rPr>
            </w:pPr>
          </w:p>
        </w:tc>
      </w:tr>
      <w:tr>
        <w:trPr>
          <w:trHeight w:val="174"/>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174"/>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Arizona</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2.31 %</w:t>
            </w:r>
          </w:p>
        </w:tc>
        <w:tc>
          <w:tcPr>
            <w:tcW w:w="0" w:type="dxa"/>
            <w:vAlign w:val="bottom"/>
          </w:tcPr>
          <w:p>
            <w:pPr>
              <w:spacing w:after="0"/>
              <w:rPr>
                <w:sz w:val="1"/>
                <w:szCs w:val="1"/>
                <w:color w:val="auto"/>
              </w:rPr>
            </w:pPr>
          </w:p>
        </w:tc>
      </w:tr>
      <w:tr>
        <w:trPr>
          <w:trHeight w:val="17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174"/>
        </w:trPr>
        <w:tc>
          <w:tcPr>
            <w:tcW w:w="712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Pennsylvania </w:t>
            </w:r>
            <w:r>
              <w:rPr>
                <w:rFonts w:ascii="Arial" w:cs="Arial" w:eastAsia="Arial" w:hAnsi="Arial"/>
                <w:sz w:val="17"/>
                <w:szCs w:val="17"/>
                <w:color w:val="auto"/>
                <w:vertAlign w:val="superscript"/>
              </w:rPr>
              <w:t>(1)</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2.38 %</w:t>
            </w:r>
          </w:p>
        </w:tc>
        <w:tc>
          <w:tcPr>
            <w:tcW w:w="0" w:type="dxa"/>
            <w:vAlign w:val="bottom"/>
          </w:tcPr>
          <w:p>
            <w:pPr>
              <w:spacing w:after="0"/>
              <w:rPr>
                <w:sz w:val="1"/>
                <w:szCs w:val="1"/>
                <w:color w:val="auto"/>
              </w:rPr>
            </w:pPr>
          </w:p>
        </w:tc>
      </w:tr>
      <w:tr>
        <w:trPr>
          <w:trHeight w:val="174"/>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0" w:type="dxa"/>
            <w:vAlign w:val="bottom"/>
          </w:tcPr>
          <w:p>
            <w:pPr>
              <w:spacing w:after="0"/>
              <w:rPr>
                <w:sz w:val="1"/>
                <w:szCs w:val="1"/>
                <w:color w:val="auto"/>
              </w:rPr>
            </w:pPr>
          </w:p>
        </w:tc>
      </w:tr>
      <w:tr>
        <w:trPr>
          <w:trHeight w:val="174"/>
        </w:trPr>
        <w:tc>
          <w:tcPr>
            <w:tcW w:w="5820" w:type="dxa"/>
            <w:vAlign w:val="bottom"/>
            <w:tcBorders>
              <w:bottom w:val="single" w:sz="8" w:color="CCEEFF"/>
            </w:tcBorders>
          </w:tcPr>
          <w:p>
            <w:pPr>
              <w:ind w:left="20"/>
              <w:spacing w:after="0" w:line="175" w:lineRule="exact"/>
              <w:rPr>
                <w:sz w:val="20"/>
                <w:szCs w:val="20"/>
                <w:color w:val="auto"/>
              </w:rPr>
            </w:pPr>
            <w:r>
              <w:rPr>
                <w:rFonts w:ascii="Arial" w:cs="Arial" w:eastAsia="Arial" w:hAnsi="Arial"/>
                <w:sz w:val="14"/>
                <w:szCs w:val="14"/>
                <w:color w:val="auto"/>
              </w:rPr>
              <w:t xml:space="preserve">All Other States </w:t>
            </w:r>
            <w:r>
              <w:rPr>
                <w:rFonts w:ascii="Arial" w:cs="Arial" w:eastAsia="Arial" w:hAnsi="Arial"/>
                <w:sz w:val="17"/>
                <w:szCs w:val="17"/>
                <w:color w:val="auto"/>
                <w:vertAlign w:val="superscript"/>
              </w:rPr>
              <w:t>(2)</w:t>
            </w:r>
          </w:p>
        </w:tc>
        <w:tc>
          <w:tcPr>
            <w:tcW w:w="1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2.46 %</w:t>
            </w: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shd w:val="clear" w:color="auto" w:fill="CCEEFF"/>
          </w:tcPr>
          <w:p>
            <w:pPr>
              <w:ind w:left="180"/>
              <w:spacing w:after="0" w:line="153"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193" w:lineRule="auto"/>
        <w:tabs>
          <w:tab w:leader="none" w:pos="240" w:val="left"/>
        </w:tabs>
        <w:numPr>
          <w:ilvl w:val="0"/>
          <w:numId w:val="45"/>
        </w:numPr>
        <w:rPr>
          <w:rFonts w:ascii="Arial" w:cs="Arial" w:eastAsia="Arial" w:hAnsi="Arial"/>
          <w:sz w:val="14"/>
          <w:szCs w:val="14"/>
          <w:color w:val="auto"/>
          <w:vertAlign w:val="superscript"/>
        </w:rPr>
      </w:pPr>
      <w:r>
        <w:rPr>
          <w:rFonts w:ascii="Arial" w:cs="Arial" w:eastAsia="Arial" w:hAnsi="Arial"/>
          <w:sz w:val="11"/>
          <w:szCs w:val="11"/>
          <w:color w:val="auto"/>
        </w:rPr>
        <w:t>Jurisdiction predominantly uses a judicial foreclosure process, which generally increases the amount of time it takes for a foreclosure to be completed.</w:t>
      </w:r>
    </w:p>
    <w:p>
      <w:pPr>
        <w:ind w:left="240" w:hanging="238"/>
        <w:spacing w:after="0" w:line="195" w:lineRule="auto"/>
        <w:tabs>
          <w:tab w:leader="none" w:pos="240" w:val="left"/>
        </w:tabs>
        <w:numPr>
          <w:ilvl w:val="0"/>
          <w:numId w:val="45"/>
        </w:numPr>
        <w:rPr>
          <w:rFonts w:ascii="Arial" w:cs="Arial" w:eastAsia="Arial" w:hAnsi="Arial"/>
          <w:sz w:val="14"/>
          <w:szCs w:val="14"/>
          <w:color w:val="auto"/>
          <w:vertAlign w:val="superscript"/>
        </w:rPr>
      </w:pPr>
      <w:r>
        <w:rPr>
          <w:rFonts w:ascii="Arial" w:cs="Arial" w:eastAsia="Arial" w:hAnsi="Arial"/>
          <w:sz w:val="11"/>
          <w:szCs w:val="11"/>
          <w:color w:val="auto"/>
        </w:rPr>
        <w:t>Includes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8" w:name="page109"/>
    <w:bookmarkEnd w:id="108"/>
    <w:p>
      <w:pPr>
        <w:ind w:left="240"/>
        <w:spacing w:after="0"/>
        <w:rPr>
          <w:sz w:val="20"/>
          <w:szCs w:val="20"/>
          <w:color w:val="auto"/>
        </w:rPr>
      </w:pPr>
      <w:r>
        <w:rPr>
          <w:rFonts w:ascii="Arial" w:cs="Arial" w:eastAsia="Arial" w:hAnsi="Arial"/>
          <w:sz w:val="14"/>
          <w:szCs w:val="14"/>
          <w:color w:val="auto"/>
        </w:rPr>
        <w:t>The table below sets forth our primary delinquency rates for the ten largest states by our primary RIF as of December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2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Percent of RIF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left="365"/>
              <w:spacing w:after="0"/>
              <w:rPr>
                <w:sz w:val="20"/>
                <w:szCs w:val="20"/>
                <w:color w:val="auto"/>
              </w:rPr>
            </w:pPr>
            <w:r>
              <w:rPr>
                <w:rFonts w:ascii="Arial" w:cs="Arial" w:eastAsia="Arial" w:hAnsi="Arial"/>
                <w:sz w:val="11"/>
                <w:szCs w:val="11"/>
                <w:b w:val="1"/>
                <w:bCs w:val="1"/>
                <w:color w:val="auto"/>
                <w:w w:val="99"/>
              </w:rPr>
              <w:t>Percent of 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jc w:val="right"/>
              <w:ind w:right="445"/>
              <w:spacing w:after="0"/>
              <w:rPr>
                <w:sz w:val="20"/>
                <w:szCs w:val="20"/>
                <w:color w:val="auto"/>
              </w:rPr>
            </w:pPr>
            <w:r>
              <w:rPr>
                <w:rFonts w:ascii="Arial" w:cs="Arial" w:eastAsia="Arial" w:hAnsi="Arial"/>
                <w:sz w:val="11"/>
                <w:szCs w:val="11"/>
                <w:b w:val="1"/>
                <w:bCs w:val="1"/>
                <w:color w:val="auto"/>
              </w:rPr>
              <w:t>Delinquency</w:t>
            </w:r>
          </w:p>
        </w:tc>
        <w:tc>
          <w:tcPr>
            <w:tcW w:w="0" w:type="dxa"/>
            <w:vAlign w:val="bottom"/>
          </w:tcPr>
          <w:p>
            <w:pPr>
              <w:spacing w:after="0"/>
              <w:rPr>
                <w:sz w:val="1"/>
                <w:szCs w:val="1"/>
                <w:color w:val="auto"/>
              </w:rPr>
            </w:pPr>
          </w:p>
        </w:tc>
      </w:tr>
      <w:tr>
        <w:trPr>
          <w:trHeight w:val="133"/>
        </w:trPr>
        <w:tc>
          <w:tcPr>
            <w:tcW w:w="6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ind w:left="385"/>
              <w:spacing w:after="0"/>
              <w:rPr>
                <w:sz w:val="20"/>
                <w:szCs w:val="20"/>
                <w:color w:val="auto"/>
              </w:rPr>
            </w:pPr>
            <w:r>
              <w:rPr>
                <w:rFonts w:ascii="Arial" w:cs="Arial" w:eastAsia="Arial" w:hAnsi="Arial"/>
                <w:sz w:val="11"/>
                <w:szCs w:val="11"/>
                <w:b w:val="1"/>
                <w:bCs w:val="1"/>
                <w:color w:val="auto"/>
              </w:rPr>
              <w:t>reserves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65"/>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65"/>
        </w:trPr>
        <w:tc>
          <w:tcPr>
            <w:tcW w:w="6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By State:</w:t>
            </w: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420" w:type="dxa"/>
            <w:vAlign w:val="bottom"/>
          </w:tcPr>
          <w:p>
            <w:pPr>
              <w:jc w:val="right"/>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6.20 %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5.82 %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Florida </w:t>
            </w:r>
            <w:r>
              <w:rPr>
                <w:rFonts w:ascii="Arial" w:cs="Arial" w:eastAsia="Arial" w:hAnsi="Arial"/>
                <w:sz w:val="17"/>
                <w:szCs w:val="17"/>
                <w:color w:val="auto"/>
                <w:vertAlign w:val="superscript"/>
              </w:rPr>
              <w:t>(1)</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6.92 %</w:t>
            </w:r>
          </w:p>
        </w:tc>
        <w:tc>
          <w:tcPr>
            <w:tcW w:w="0" w:type="dxa"/>
            <w:vAlign w:val="bottom"/>
          </w:tcPr>
          <w:p>
            <w:pPr>
              <w:spacing w:after="0"/>
              <w:rPr>
                <w:sz w:val="1"/>
                <w:szCs w:val="1"/>
                <w:color w:val="auto"/>
              </w:rPr>
            </w:pPr>
          </w:p>
        </w:tc>
      </w:tr>
      <w:tr>
        <w:trPr>
          <w:trHeight w:val="174"/>
        </w:trPr>
        <w:tc>
          <w:tcPr>
            <w:tcW w:w="73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Illinois </w:t>
            </w:r>
            <w:r>
              <w:rPr>
                <w:rFonts w:ascii="Arial" w:cs="Arial" w:eastAsia="Arial" w:hAnsi="Arial"/>
                <w:sz w:val="17"/>
                <w:szCs w:val="17"/>
                <w:color w:val="auto"/>
                <w:vertAlign w:val="superscript"/>
              </w:rPr>
              <w:t>(1)</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5.21 %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New York </w:t>
            </w:r>
            <w:r>
              <w:rPr>
                <w:rFonts w:ascii="Arial" w:cs="Arial" w:eastAsia="Arial" w:hAnsi="Arial"/>
                <w:sz w:val="17"/>
                <w:szCs w:val="17"/>
                <w:color w:val="auto"/>
                <w:vertAlign w:val="superscript"/>
              </w:rPr>
              <w:t>(1)</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11</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6.92 %</w:t>
            </w:r>
          </w:p>
        </w:tc>
        <w:tc>
          <w:tcPr>
            <w:tcW w:w="0" w:type="dxa"/>
            <w:vAlign w:val="bottom"/>
          </w:tcPr>
          <w:p>
            <w:pPr>
              <w:spacing w:after="0"/>
              <w:rPr>
                <w:sz w:val="1"/>
                <w:szCs w:val="1"/>
                <w:color w:val="auto"/>
              </w:rPr>
            </w:pPr>
          </w:p>
        </w:tc>
      </w:tr>
      <w:tr>
        <w:trPr>
          <w:trHeight w:val="174"/>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Washington</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5.37 %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Pennsylvania </w:t>
            </w:r>
            <w:r>
              <w:rPr>
                <w:rFonts w:ascii="Arial" w:cs="Arial" w:eastAsia="Arial" w:hAnsi="Arial"/>
                <w:sz w:val="17"/>
                <w:szCs w:val="17"/>
                <w:color w:val="auto"/>
                <w:vertAlign w:val="superscript"/>
              </w:rPr>
              <w:t>(1)</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North Carolina</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3.84 %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All other states </w:t>
            </w:r>
            <w:r>
              <w:rPr>
                <w:rFonts w:ascii="Arial" w:cs="Arial" w:eastAsia="Arial" w:hAnsi="Arial"/>
                <w:sz w:val="17"/>
                <w:szCs w:val="17"/>
                <w:color w:val="auto"/>
                <w:vertAlign w:val="superscript"/>
              </w:rPr>
              <w:t>(2)</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4.32 %</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bottom w:val="single" w:sz="8" w:color="CCEEFF"/>
            </w:tcBorders>
            <w:shd w:val="clear" w:color="auto" w:fill="CCEEFF"/>
          </w:tcPr>
          <w:p>
            <w:pPr>
              <w:ind w:left="180"/>
              <w:spacing w:after="0" w:line="153"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100 %</w:t>
            </w: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4.86 %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46"/>
        </w:numPr>
        <w:rPr>
          <w:rFonts w:ascii="Arial" w:cs="Arial" w:eastAsia="Arial" w:hAnsi="Arial"/>
          <w:sz w:val="14"/>
          <w:szCs w:val="14"/>
          <w:color w:val="auto"/>
          <w:vertAlign w:val="superscript"/>
        </w:rPr>
      </w:pPr>
      <w:r>
        <w:rPr>
          <w:rFonts w:ascii="Arial" w:cs="Arial" w:eastAsia="Arial" w:hAnsi="Arial"/>
          <w:sz w:val="11"/>
          <w:szCs w:val="11"/>
          <w:color w:val="auto"/>
        </w:rPr>
        <w:t>Jurisdiction predominantly uses a judicial foreclosure process, which generally increases the amount of time it takes for a foreclosure to be completed.</w:t>
      </w:r>
    </w:p>
    <w:p>
      <w:pPr>
        <w:spacing w:after="0" w:line="13" w:lineRule="exact"/>
        <w:rPr>
          <w:rFonts w:ascii="Arial" w:cs="Arial" w:eastAsia="Arial" w:hAnsi="Arial"/>
          <w:sz w:val="14"/>
          <w:szCs w:val="14"/>
          <w:color w:val="auto"/>
          <w:vertAlign w:val="superscript"/>
        </w:rPr>
      </w:pPr>
    </w:p>
    <w:p>
      <w:pPr>
        <w:ind w:left="240" w:hanging="238"/>
        <w:spacing w:after="0" w:line="207" w:lineRule="auto"/>
        <w:tabs>
          <w:tab w:leader="none" w:pos="240" w:val="left"/>
        </w:tabs>
        <w:numPr>
          <w:ilvl w:val="0"/>
          <w:numId w:val="46"/>
        </w:numPr>
        <w:rPr>
          <w:rFonts w:ascii="Arial" w:cs="Arial" w:eastAsia="Arial" w:hAnsi="Arial"/>
          <w:sz w:val="14"/>
          <w:szCs w:val="14"/>
          <w:color w:val="auto"/>
          <w:vertAlign w:val="superscript"/>
        </w:rPr>
      </w:pPr>
      <w:r>
        <w:rPr>
          <w:rFonts w:ascii="Arial" w:cs="Arial" w:eastAsia="Arial" w:hAnsi="Arial"/>
          <w:sz w:val="11"/>
          <w:szCs w:val="11"/>
          <w:color w:val="auto"/>
        </w:rPr>
        <w:t>Includes the District of Columbia</w:t>
      </w:r>
      <w:r>
        <w:rPr>
          <w:rFonts w:ascii="Arial" w:cs="Arial" w:eastAsia="Arial" w:hAnsi="Arial"/>
          <w:sz w:val="13"/>
          <w:szCs w:val="13"/>
          <w:color w:val="auto"/>
        </w:rPr>
        <w: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table below sets forth our primary delinquency rates for the ten largest states by our primary RIF as of December 31,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2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Percent of RIF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left="365"/>
              <w:spacing w:after="0"/>
              <w:rPr>
                <w:sz w:val="20"/>
                <w:szCs w:val="20"/>
                <w:color w:val="auto"/>
              </w:rPr>
            </w:pPr>
            <w:r>
              <w:rPr>
                <w:rFonts w:ascii="Arial" w:cs="Arial" w:eastAsia="Arial" w:hAnsi="Arial"/>
                <w:sz w:val="11"/>
                <w:szCs w:val="11"/>
                <w:b w:val="1"/>
                <w:bCs w:val="1"/>
                <w:color w:val="auto"/>
                <w:w w:val="99"/>
              </w:rPr>
              <w:t>Percent of 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jc w:val="right"/>
              <w:ind w:right="445"/>
              <w:spacing w:after="0"/>
              <w:rPr>
                <w:sz w:val="20"/>
                <w:szCs w:val="20"/>
                <w:color w:val="auto"/>
              </w:rPr>
            </w:pPr>
            <w:r>
              <w:rPr>
                <w:rFonts w:ascii="Arial" w:cs="Arial" w:eastAsia="Arial" w:hAnsi="Arial"/>
                <w:sz w:val="11"/>
                <w:szCs w:val="11"/>
                <w:b w:val="1"/>
                <w:bCs w:val="1"/>
                <w:color w:val="auto"/>
              </w:rPr>
              <w:t>Delinquency</w:t>
            </w:r>
          </w:p>
        </w:tc>
        <w:tc>
          <w:tcPr>
            <w:tcW w:w="0" w:type="dxa"/>
            <w:vAlign w:val="bottom"/>
          </w:tcPr>
          <w:p>
            <w:pPr>
              <w:spacing w:after="0"/>
              <w:rPr>
                <w:sz w:val="1"/>
                <w:szCs w:val="1"/>
                <w:color w:val="auto"/>
              </w:rPr>
            </w:pPr>
          </w:p>
        </w:tc>
      </w:tr>
      <w:tr>
        <w:trPr>
          <w:trHeight w:val="133"/>
        </w:trPr>
        <w:tc>
          <w:tcPr>
            <w:tcW w:w="6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ind w:left="385"/>
              <w:spacing w:after="0"/>
              <w:rPr>
                <w:sz w:val="20"/>
                <w:szCs w:val="20"/>
                <w:color w:val="auto"/>
              </w:rPr>
            </w:pPr>
            <w:r>
              <w:rPr>
                <w:rFonts w:ascii="Arial" w:cs="Arial" w:eastAsia="Arial" w:hAnsi="Arial"/>
                <w:sz w:val="11"/>
                <w:szCs w:val="11"/>
                <w:b w:val="1"/>
                <w:bCs w:val="1"/>
                <w:color w:val="auto"/>
              </w:rPr>
              <w:t>reserves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65"/>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65"/>
        </w:trPr>
        <w:tc>
          <w:tcPr>
            <w:tcW w:w="6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By State:</w:t>
            </w: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420" w:type="dxa"/>
            <w:vAlign w:val="bottom"/>
          </w:tcPr>
          <w:p>
            <w:pPr>
              <w:jc w:val="right"/>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Florida </w:t>
            </w:r>
            <w:r>
              <w:rPr>
                <w:rFonts w:ascii="Arial" w:cs="Arial" w:eastAsia="Arial" w:hAnsi="Arial"/>
                <w:sz w:val="17"/>
                <w:szCs w:val="17"/>
                <w:color w:val="auto"/>
                <w:vertAlign w:val="superscript"/>
              </w:rPr>
              <w:t>(1)</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11</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74"/>
        </w:trPr>
        <w:tc>
          <w:tcPr>
            <w:tcW w:w="73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New York </w:t>
            </w:r>
            <w:r>
              <w:rPr>
                <w:rFonts w:ascii="Arial" w:cs="Arial" w:eastAsia="Arial" w:hAnsi="Arial"/>
                <w:sz w:val="17"/>
                <w:szCs w:val="17"/>
                <w:color w:val="auto"/>
                <w:vertAlign w:val="superscript"/>
              </w:rPr>
              <w:t>(1)</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Illinois </w:t>
            </w:r>
            <w:r>
              <w:rPr>
                <w:rFonts w:ascii="Arial" w:cs="Arial" w:eastAsia="Arial" w:hAnsi="Arial"/>
                <w:sz w:val="17"/>
                <w:szCs w:val="17"/>
                <w:color w:val="auto"/>
                <w:vertAlign w:val="superscript"/>
              </w:rPr>
              <w:t>(1)</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6</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2.25 %</w:t>
            </w:r>
          </w:p>
        </w:tc>
        <w:tc>
          <w:tcPr>
            <w:tcW w:w="0" w:type="dxa"/>
            <w:vAlign w:val="bottom"/>
          </w:tcPr>
          <w:p>
            <w:pPr>
              <w:spacing w:after="0"/>
              <w:rPr>
                <w:sz w:val="1"/>
                <w:szCs w:val="1"/>
                <w:color w:val="auto"/>
              </w:rPr>
            </w:pPr>
          </w:p>
        </w:tc>
      </w:tr>
      <w:tr>
        <w:trPr>
          <w:trHeight w:val="174"/>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Michigan</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4"/>
                <w:szCs w:val="14"/>
                <w:color w:val="auto"/>
              </w:rPr>
              <w:t xml:space="preserve">Pennsylvania </w:t>
            </w:r>
            <w:r>
              <w:rPr>
                <w:rFonts w:ascii="Arial" w:cs="Arial" w:eastAsia="Arial" w:hAnsi="Arial"/>
                <w:sz w:val="17"/>
                <w:szCs w:val="17"/>
                <w:color w:val="auto"/>
                <w:vertAlign w:val="superscript"/>
              </w:rPr>
              <w:t>(1)</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North Carolina</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 xml:space="preserve">All other states </w:t>
            </w:r>
            <w:r>
              <w:rPr>
                <w:rFonts w:ascii="Arial" w:cs="Arial" w:eastAsia="Arial" w:hAnsi="Arial"/>
                <w:sz w:val="17"/>
                <w:szCs w:val="17"/>
                <w:color w:val="auto"/>
                <w:vertAlign w:val="superscript"/>
              </w:rPr>
              <w:t>(2)</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43</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bottom w:val="single" w:sz="8" w:color="CCEEFF"/>
            </w:tcBorders>
            <w:shd w:val="clear" w:color="auto" w:fill="CCEEFF"/>
          </w:tcPr>
          <w:p>
            <w:pPr>
              <w:ind w:left="180"/>
              <w:spacing w:after="0" w:line="153"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100 %</w:t>
            </w: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tabs>
          <w:tab w:leader="none" w:pos="240" w:val="left"/>
        </w:tabs>
        <w:numPr>
          <w:ilvl w:val="0"/>
          <w:numId w:val="47"/>
        </w:numPr>
        <w:rPr>
          <w:rFonts w:ascii="Arial" w:cs="Arial" w:eastAsia="Arial" w:hAnsi="Arial"/>
          <w:sz w:val="7"/>
          <w:szCs w:val="7"/>
          <w:color w:val="auto"/>
        </w:rPr>
      </w:pPr>
      <w:r>
        <w:rPr>
          <w:rFonts w:ascii="Arial" w:cs="Arial" w:eastAsia="Arial" w:hAnsi="Arial"/>
          <w:sz w:val="11"/>
          <w:szCs w:val="11"/>
          <w:color w:val="auto"/>
        </w:rPr>
        <w:t>Jurisdiction predominantly uses a judicial foreclosure process, which generally increases the amount of time it takes for a foreclosure to be completed.</w:t>
      </w:r>
    </w:p>
    <w:p>
      <w:pPr>
        <w:spacing w:after="0" w:line="4" w:lineRule="exact"/>
        <w:rPr>
          <w:rFonts w:ascii="Arial" w:cs="Arial" w:eastAsia="Arial" w:hAnsi="Arial"/>
          <w:sz w:val="7"/>
          <w:szCs w:val="7"/>
          <w:color w:val="auto"/>
        </w:rPr>
      </w:pPr>
    </w:p>
    <w:p>
      <w:pPr>
        <w:ind w:left="240" w:hanging="238"/>
        <w:spacing w:after="0"/>
        <w:tabs>
          <w:tab w:leader="none" w:pos="240" w:val="left"/>
        </w:tabs>
        <w:numPr>
          <w:ilvl w:val="0"/>
          <w:numId w:val="47"/>
        </w:numPr>
        <w:rPr>
          <w:rFonts w:ascii="Arial" w:cs="Arial" w:eastAsia="Arial" w:hAnsi="Arial"/>
          <w:sz w:val="7"/>
          <w:szCs w:val="7"/>
          <w:color w:val="auto"/>
        </w:rPr>
      </w:pPr>
      <w:r>
        <w:rPr>
          <w:rFonts w:ascii="Arial" w:cs="Arial" w:eastAsia="Arial" w:hAnsi="Arial"/>
          <w:sz w:val="11"/>
          <w:szCs w:val="11"/>
          <w:color w:val="auto"/>
        </w:rPr>
        <w:t>Includes the District of Columbia</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09" w:name="page110"/>
    <w:bookmarkEnd w:id="109"/>
    <w:p>
      <w:pPr>
        <w:ind w:firstLine="246"/>
        <w:spacing w:after="0" w:line="248" w:lineRule="auto"/>
        <w:rPr>
          <w:sz w:val="20"/>
          <w:szCs w:val="20"/>
          <w:color w:val="auto"/>
        </w:rPr>
      </w:pPr>
      <w:r>
        <w:rPr>
          <w:rFonts w:ascii="Arial" w:cs="Arial" w:eastAsia="Arial" w:hAnsi="Arial"/>
          <w:sz w:val="14"/>
          <w:szCs w:val="14"/>
          <w:color w:val="auto"/>
        </w:rPr>
        <w:t>The table below sets forth our primary delinquency rates for the ten largest Metropolitan Statistical Areas (“MSA”) or Metro Divisions (“MD”) by our primary RIF as of December 31,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2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Percent of RIF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98"/>
              </w:rPr>
              <w:t>Percent of direct primary case</w:t>
            </w:r>
          </w:p>
        </w:tc>
        <w:tc>
          <w:tcPr>
            <w:tcW w:w="80" w:type="dxa"/>
            <w:vAlign w:val="bottom"/>
          </w:tcPr>
          <w:p>
            <w:pPr>
              <w:spacing w:after="0"/>
              <w:rPr>
                <w:sz w:val="10"/>
                <w:szCs w:val="10"/>
                <w:color w:val="auto"/>
              </w:rPr>
            </w:pP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rPr>
              <w:t>Delinquency</w:t>
            </w:r>
          </w:p>
        </w:tc>
        <w:tc>
          <w:tcPr>
            <w:tcW w:w="0" w:type="dxa"/>
            <w:vAlign w:val="bottom"/>
          </w:tcPr>
          <w:p>
            <w:pPr>
              <w:spacing w:after="0"/>
              <w:rPr>
                <w:sz w:val="1"/>
                <w:szCs w:val="1"/>
                <w:color w:val="auto"/>
              </w:rPr>
            </w:pPr>
          </w:p>
        </w:tc>
      </w:tr>
      <w:tr>
        <w:trPr>
          <w:trHeight w:val="133"/>
        </w:trPr>
        <w:tc>
          <w:tcPr>
            <w:tcW w:w="6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reserves</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65"/>
        </w:trPr>
        <w:tc>
          <w:tcPr>
            <w:tcW w:w="6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By MSA or MD:</w:t>
            </w: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Chicago-Naperville, IL MD</w:t>
            </w:r>
          </w:p>
        </w:tc>
        <w:tc>
          <w:tcPr>
            <w:tcW w:w="42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Phoenix, AZ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New York, NY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8</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5.32 %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Atlanta, GA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Washington-Arlington, DC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2.96 %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TX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3.61 %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Riverside-San Bernardino CA MSA</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3.42 %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 Angeles-Long Beach, CA MD</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Dallas, TX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2.31 %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Nassau County, NY MD</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5.55 %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All Other MSAs/MDs</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67</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540" w:type="dxa"/>
            <w:vAlign w:val="bottom"/>
            <w:gridSpan w:val="5"/>
          </w:tcPr>
          <w:p>
            <w:pPr>
              <w:ind w:left="240"/>
              <w:spacing w:after="0"/>
              <w:rPr>
                <w:sz w:val="20"/>
                <w:szCs w:val="20"/>
                <w:color w:val="auto"/>
              </w:rPr>
            </w:pPr>
            <w:r>
              <w:rPr>
                <w:rFonts w:ascii="Arial" w:cs="Arial" w:eastAsia="Arial" w:hAnsi="Arial"/>
                <w:sz w:val="14"/>
                <w:szCs w:val="14"/>
                <w:color w:val="auto"/>
              </w:rPr>
              <w:t>The table below sets forth our primary delinquency rates for the ten largest MSAs or MDs by our primary RIF as of December 31, 2020:</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2"/>
                <w:szCs w:val="22"/>
                <w:color w:val="auto"/>
              </w:rPr>
            </w:pPr>
          </w:p>
        </w:tc>
        <w:tc>
          <w:tcPr>
            <w:tcW w:w="12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Percent of RIF</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99"/>
              </w:rPr>
              <w:t>Percent of total</w:t>
            </w:r>
          </w:p>
        </w:tc>
        <w:tc>
          <w:tcPr>
            <w:tcW w:w="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w w:val="97"/>
              </w:rPr>
              <w:t>Delinquency</w:t>
            </w:r>
          </w:p>
        </w:tc>
        <w:tc>
          <w:tcPr>
            <w:tcW w:w="0" w:type="dxa"/>
            <w:vAlign w:val="bottom"/>
          </w:tcPr>
          <w:p>
            <w:pPr>
              <w:spacing w:after="0"/>
              <w:rPr>
                <w:sz w:val="1"/>
                <w:szCs w:val="1"/>
                <w:color w:val="auto"/>
              </w:rPr>
            </w:pPr>
          </w:p>
        </w:tc>
      </w:tr>
      <w:tr>
        <w:trPr>
          <w:trHeight w:val="133"/>
        </w:trPr>
        <w:tc>
          <w:tcPr>
            <w:tcW w:w="6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reserves</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rate</w:t>
            </w:r>
          </w:p>
        </w:tc>
        <w:tc>
          <w:tcPr>
            <w:tcW w:w="0" w:type="dxa"/>
            <w:vAlign w:val="bottom"/>
          </w:tcPr>
          <w:p>
            <w:pPr>
              <w:spacing w:after="0"/>
              <w:rPr>
                <w:sz w:val="1"/>
                <w:szCs w:val="1"/>
                <w:color w:val="auto"/>
              </w:rPr>
            </w:pPr>
          </w:p>
        </w:tc>
      </w:tr>
      <w:tr>
        <w:trPr>
          <w:trHeight w:val="16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By MSA or MD:</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Chicago-Naperville, IL MD</w:t>
            </w:r>
          </w:p>
        </w:tc>
        <w:tc>
          <w:tcPr>
            <w:tcW w:w="42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6.36 %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Phoenix, AZ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4.63 %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New York, NY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8</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10.25 %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Atlanta, GA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6.68 %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Washington-Arlington, DC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6.09 %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TX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Riverside-San Bernardino, CA MSA</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7.08 %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 Angeles-Long Beach, CA MD</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Dallas, TX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5.10 %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Seattle-Bellevue, WA MD</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6.33 %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All other MSAs/MDs</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70</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4.43 %</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4.86 %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0" w:name="page111"/>
    <w:bookmarkEnd w:id="110"/>
    <w:p>
      <w:pPr>
        <w:ind w:left="240"/>
        <w:spacing w:after="0"/>
        <w:rPr>
          <w:sz w:val="20"/>
          <w:szCs w:val="20"/>
          <w:color w:val="auto"/>
        </w:rPr>
      </w:pPr>
      <w:r>
        <w:rPr>
          <w:rFonts w:ascii="Arial" w:cs="Arial" w:eastAsia="Arial" w:hAnsi="Arial"/>
          <w:sz w:val="14"/>
          <w:szCs w:val="14"/>
          <w:color w:val="auto"/>
        </w:rPr>
        <w:t>The table below sets forth our primary delinquency rates for the ten largest MSAs or MDs by our primary RIF as of December 31,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2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Percent of RIF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left="365"/>
              <w:spacing w:after="0"/>
              <w:rPr>
                <w:sz w:val="20"/>
                <w:szCs w:val="20"/>
                <w:color w:val="auto"/>
              </w:rPr>
            </w:pPr>
            <w:r>
              <w:rPr>
                <w:rFonts w:ascii="Arial" w:cs="Arial" w:eastAsia="Arial" w:hAnsi="Arial"/>
                <w:sz w:val="11"/>
                <w:szCs w:val="11"/>
                <w:b w:val="1"/>
                <w:bCs w:val="1"/>
                <w:color w:val="auto"/>
                <w:w w:val="99"/>
              </w:rPr>
              <w:t>Percent of 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jc w:val="right"/>
              <w:ind w:right="434"/>
              <w:spacing w:after="0"/>
              <w:rPr>
                <w:sz w:val="20"/>
                <w:szCs w:val="20"/>
                <w:color w:val="auto"/>
              </w:rPr>
            </w:pPr>
            <w:r>
              <w:rPr>
                <w:rFonts w:ascii="Arial" w:cs="Arial" w:eastAsia="Arial" w:hAnsi="Arial"/>
                <w:sz w:val="11"/>
                <w:szCs w:val="11"/>
                <w:b w:val="1"/>
                <w:bCs w:val="1"/>
                <w:color w:val="auto"/>
              </w:rPr>
              <w:t>Delinquency</w:t>
            </w:r>
          </w:p>
        </w:tc>
        <w:tc>
          <w:tcPr>
            <w:tcW w:w="0" w:type="dxa"/>
            <w:vAlign w:val="bottom"/>
          </w:tcPr>
          <w:p>
            <w:pPr>
              <w:spacing w:after="0"/>
              <w:rPr>
                <w:sz w:val="1"/>
                <w:szCs w:val="1"/>
                <w:color w:val="auto"/>
              </w:rPr>
            </w:pPr>
          </w:p>
        </w:tc>
      </w:tr>
      <w:tr>
        <w:trPr>
          <w:trHeight w:val="133"/>
        </w:trPr>
        <w:tc>
          <w:tcPr>
            <w:tcW w:w="6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ind w:left="385"/>
              <w:spacing w:after="0"/>
              <w:rPr>
                <w:sz w:val="20"/>
                <w:szCs w:val="20"/>
                <w:color w:val="auto"/>
              </w:rPr>
            </w:pPr>
            <w:r>
              <w:rPr>
                <w:rFonts w:ascii="Arial" w:cs="Arial" w:eastAsia="Arial" w:hAnsi="Arial"/>
                <w:sz w:val="11"/>
                <w:szCs w:val="11"/>
                <w:b w:val="1"/>
                <w:bCs w:val="1"/>
                <w:color w:val="auto"/>
              </w:rPr>
              <w:t>reserves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6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By MSA or MD:</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Chicago-Naperville, IL MD</w:t>
            </w:r>
          </w:p>
        </w:tc>
        <w:tc>
          <w:tcPr>
            <w:tcW w:w="42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 MD</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Phoenix, AZ MSA</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Atlanta, GA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Washington-Arlington, DC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1.47 %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TX MSA</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Los Angeles-Long Beach, CA MD</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Seattle-Bellevue, WA MD</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Riverside-San Bernardino, CA MSA</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Nassau County-Suffolk County, NY Metro Division</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All other MSAs/MDs</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1.86 %</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frequency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 extension of credit to bring a loan current, foreclosure forbearance, pre-foreclosure sale and deed-in-lieu. These loss mitigation efforts often are an effective way to reduce our claim exposure and ultimate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1" w:name="page112"/>
    <w:bookmarkEnd w:id="111"/>
    <w:p>
      <w:pPr>
        <w:ind w:left="240"/>
        <w:spacing w:after="0"/>
        <w:rPr>
          <w:sz w:val="20"/>
          <w:szCs w:val="20"/>
          <w:color w:val="auto"/>
        </w:rPr>
      </w:pPr>
      <w:r>
        <w:rPr>
          <w:rFonts w:ascii="Arial" w:cs="Arial" w:eastAsia="Arial" w:hAnsi="Arial"/>
          <w:sz w:val="14"/>
          <w:szCs w:val="14"/>
          <w:color w:val="auto"/>
        </w:rPr>
        <w:t>The following table sets forth the dispersion of primary RIF and loss reserves by policy year and delinquency rates as of December 31,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120" w:type="dxa"/>
            <w:vAlign w:val="bottom"/>
            <w:vMerge w:val="restart"/>
          </w:tcPr>
          <w:p>
            <w:pPr>
              <w:jc w:val="center"/>
              <w:ind w:left="465"/>
              <w:spacing w:after="0"/>
              <w:rPr>
                <w:sz w:val="20"/>
                <w:szCs w:val="20"/>
                <w:color w:val="auto"/>
              </w:rPr>
            </w:pPr>
            <w:r>
              <w:rPr>
                <w:rFonts w:ascii="Arial" w:cs="Arial" w:eastAsia="Arial" w:hAnsi="Arial"/>
                <w:sz w:val="11"/>
                <w:szCs w:val="11"/>
                <w:b w:val="1"/>
                <w:bCs w:val="1"/>
                <w:color w:val="auto"/>
                <w:w w:val="99"/>
              </w:rPr>
              <w:t>Percent</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9"/>
              </w:rPr>
              <w:t>Percent of direct</w:t>
            </w:r>
          </w:p>
        </w:tc>
        <w:tc>
          <w:tcPr>
            <w:tcW w:w="80" w:type="dxa"/>
            <w:vAlign w:val="bottom"/>
          </w:tcPr>
          <w:p>
            <w:pPr>
              <w:spacing w:after="0"/>
              <w:rPr>
                <w:sz w:val="10"/>
                <w:szCs w:val="10"/>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Delinquency</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Cumulative</w:t>
            </w:r>
          </w:p>
        </w:tc>
        <w:tc>
          <w:tcPr>
            <w:tcW w:w="0" w:type="dxa"/>
            <w:vAlign w:val="bottom"/>
          </w:tcPr>
          <w:p>
            <w:pPr>
              <w:spacing w:after="0"/>
              <w:rPr>
                <w:sz w:val="1"/>
                <w:szCs w:val="1"/>
                <w:color w:val="auto"/>
              </w:rPr>
            </w:pPr>
          </w:p>
        </w:tc>
      </w:tr>
      <w:tr>
        <w:trPr>
          <w:trHeight w:val="103"/>
        </w:trPr>
        <w:tc>
          <w:tcPr>
            <w:tcW w:w="4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primary case</w:t>
            </w:r>
          </w:p>
        </w:tc>
        <w:tc>
          <w:tcPr>
            <w:tcW w:w="8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6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9"/>
              </w:rPr>
              <w:t>delinquency</w:t>
            </w:r>
          </w:p>
        </w:tc>
        <w:tc>
          <w:tcPr>
            <w:tcW w:w="0" w:type="dxa"/>
            <w:vAlign w:val="bottom"/>
          </w:tcPr>
          <w:p>
            <w:pPr>
              <w:spacing w:after="0"/>
              <w:rPr>
                <w:sz w:val="1"/>
                <w:szCs w:val="1"/>
                <w:color w:val="auto"/>
              </w:rPr>
            </w:pPr>
          </w:p>
        </w:tc>
      </w:tr>
      <w:tr>
        <w:trPr>
          <w:trHeight w:val="133"/>
        </w:trPr>
        <w:tc>
          <w:tcPr>
            <w:tcW w:w="44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465"/>
              <w:spacing w:after="0"/>
              <w:rPr>
                <w:sz w:val="20"/>
                <w:szCs w:val="20"/>
                <w:color w:val="auto"/>
              </w:rPr>
            </w:pPr>
            <w:r>
              <w:rPr>
                <w:rFonts w:ascii="Arial" w:cs="Arial" w:eastAsia="Arial" w:hAnsi="Arial"/>
                <w:sz w:val="11"/>
                <w:szCs w:val="11"/>
                <w:b w:val="1"/>
                <w:bCs w:val="1"/>
                <w:color w:val="auto"/>
              </w:rPr>
              <w:t>of RIF</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reserves</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85"/>
              <w:spacing w:after="0"/>
              <w:rPr>
                <w:sz w:val="20"/>
                <w:szCs w:val="20"/>
                <w:color w:val="auto"/>
              </w:rPr>
            </w:pPr>
            <w:r>
              <w:rPr>
                <w:rFonts w:ascii="Arial" w:cs="Arial" w:eastAsia="Arial" w:hAnsi="Arial"/>
                <w:sz w:val="11"/>
                <w:szCs w:val="11"/>
                <w:b w:val="1"/>
                <w:bCs w:val="1"/>
                <w:color w:val="auto"/>
              </w:rPr>
              <w:t>rate</w:t>
            </w: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1"/>
                <w:szCs w:val="11"/>
                <w:b w:val="1"/>
                <w:bCs w:val="1"/>
                <w:color w:val="auto"/>
                <w:w w:val="92"/>
              </w:rPr>
              <w:t xml:space="preserve">rate </w:t>
            </w:r>
            <w:r>
              <w:rPr>
                <w:rFonts w:ascii="Arial" w:cs="Arial" w:eastAsia="Arial" w:hAnsi="Arial"/>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6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 Year:</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2004 and prior</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1640" w:type="dxa"/>
            <w:vAlign w:val="bottom"/>
          </w:tcPr>
          <w:p>
            <w:pPr>
              <w:jc w:val="right"/>
              <w:spacing w:after="0"/>
              <w:rPr>
                <w:sz w:val="20"/>
                <w:szCs w:val="20"/>
                <w:color w:val="auto"/>
              </w:rPr>
            </w:pPr>
            <w:r>
              <w:rPr>
                <w:rFonts w:ascii="Arial" w:cs="Arial" w:eastAsia="Arial" w:hAnsi="Arial"/>
                <w:sz w:val="14"/>
                <w:szCs w:val="14"/>
                <w:color w:val="auto"/>
              </w:rPr>
              <w:t>2 %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13.24 %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3.61 %</w:t>
            </w:r>
          </w:p>
        </w:tc>
        <w:tc>
          <w:tcPr>
            <w:tcW w:w="0" w:type="dxa"/>
            <w:vAlign w:val="bottom"/>
          </w:tcPr>
          <w:p>
            <w:pPr>
              <w:spacing w:after="0"/>
              <w:rPr>
                <w:sz w:val="1"/>
                <w:szCs w:val="1"/>
                <w:color w:val="auto"/>
              </w:rPr>
            </w:pPr>
          </w:p>
        </w:tc>
      </w:tr>
      <w:tr>
        <w:trPr>
          <w:trHeight w:val="17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2005 to 2008</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10.23 %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18.36 %</w:t>
            </w:r>
          </w:p>
        </w:tc>
        <w:tc>
          <w:tcPr>
            <w:tcW w:w="0" w:type="dxa"/>
            <w:vAlign w:val="bottom"/>
          </w:tcPr>
          <w:p>
            <w:pPr>
              <w:spacing w:after="0"/>
              <w:rPr>
                <w:sz w:val="1"/>
                <w:szCs w:val="1"/>
                <w:color w:val="auto"/>
              </w:rPr>
            </w:pPr>
          </w:p>
        </w:tc>
      </w:tr>
      <w:tr>
        <w:trPr>
          <w:trHeight w:val="17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2009 to 2013</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5.54 %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0.74 %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5.51 %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2015</w:t>
            </w:r>
          </w:p>
        </w:tc>
        <w:tc>
          <w:tcPr>
            <w:tcW w:w="112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4"/>
                <w:szCs w:val="14"/>
                <w:color w:val="auto"/>
              </w:rPr>
              <w:t>5</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4.24 %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2017</w:t>
            </w:r>
          </w:p>
        </w:tc>
        <w:tc>
          <w:tcPr>
            <w:tcW w:w="112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4"/>
                <w:szCs w:val="14"/>
                <w:color w:val="auto"/>
              </w:rPr>
              <w:t>10</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4.78 %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5.93 %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2019</w:t>
            </w:r>
          </w:p>
        </w:tc>
        <w:tc>
          <w:tcPr>
            <w:tcW w:w="112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4"/>
                <w:szCs w:val="14"/>
                <w:color w:val="auto"/>
              </w:rPr>
              <w:t>19</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3.89 %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74"/>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2021</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0.37 %</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0.36 %</w:t>
            </w:r>
          </w:p>
        </w:tc>
        <w:tc>
          <w:tcPr>
            <w:tcW w:w="0" w:type="dxa"/>
            <w:vAlign w:val="bottom"/>
          </w:tcPr>
          <w:p>
            <w:pPr>
              <w:spacing w:after="0"/>
              <w:rPr>
                <w:sz w:val="1"/>
                <w:szCs w:val="1"/>
                <w:color w:val="auto"/>
              </w:rPr>
            </w:pPr>
          </w:p>
        </w:tc>
      </w:tr>
      <w:tr>
        <w:trPr>
          <w:trHeight w:val="185"/>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portfolio</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48"/>
        </w:numPr>
        <w:rPr>
          <w:rFonts w:ascii="Arial" w:cs="Arial" w:eastAsia="Arial" w:hAnsi="Arial"/>
          <w:sz w:val="14"/>
          <w:szCs w:val="14"/>
          <w:color w:val="auto"/>
          <w:vertAlign w:val="superscript"/>
        </w:rPr>
      </w:pPr>
      <w:r>
        <w:rPr>
          <w:rFonts w:ascii="Arial" w:cs="Arial" w:eastAsia="Arial" w:hAnsi="Arial"/>
          <w:sz w:val="11"/>
          <w:szCs w:val="11"/>
          <w:color w:val="auto"/>
        </w:rPr>
        <w:t>Calculated as the sum of the number of policies where claims were ever paid to date and number of policies for loans currently in default divided by policies ever in-force.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dispersion of primary RIF and loss reserves by policy year and delinquency rates as of December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120" w:type="dxa"/>
            <w:vAlign w:val="bottom"/>
            <w:vMerge w:val="restart"/>
          </w:tcPr>
          <w:p>
            <w:pPr>
              <w:jc w:val="center"/>
              <w:ind w:left="445"/>
              <w:spacing w:after="0"/>
              <w:rPr>
                <w:sz w:val="20"/>
                <w:szCs w:val="20"/>
                <w:color w:val="auto"/>
              </w:rPr>
            </w:pPr>
            <w:r>
              <w:rPr>
                <w:rFonts w:ascii="Arial" w:cs="Arial" w:eastAsia="Arial" w:hAnsi="Arial"/>
                <w:sz w:val="11"/>
                <w:szCs w:val="11"/>
                <w:b w:val="1"/>
                <w:bCs w:val="1"/>
                <w:color w:val="auto"/>
              </w:rPr>
              <w:t>Percent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center"/>
              <w:ind w:left="385"/>
              <w:spacing w:after="0"/>
              <w:rPr>
                <w:sz w:val="20"/>
                <w:szCs w:val="20"/>
                <w:color w:val="auto"/>
              </w:rPr>
            </w:pPr>
            <w:r>
              <w:rPr>
                <w:rFonts w:ascii="Arial" w:cs="Arial" w:eastAsia="Arial" w:hAnsi="Arial"/>
                <w:sz w:val="11"/>
                <w:szCs w:val="11"/>
                <w:b w:val="1"/>
                <w:bCs w:val="1"/>
                <w:color w:val="auto"/>
                <w:w w:val="99"/>
              </w:rPr>
              <w:t>Percent of 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Delinquency</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Cumulative</w:t>
            </w:r>
          </w:p>
        </w:tc>
        <w:tc>
          <w:tcPr>
            <w:tcW w:w="0" w:type="dxa"/>
            <w:vAlign w:val="bottom"/>
          </w:tcPr>
          <w:p>
            <w:pPr>
              <w:spacing w:after="0"/>
              <w:rPr>
                <w:sz w:val="1"/>
                <w:szCs w:val="1"/>
                <w:color w:val="auto"/>
              </w:rPr>
            </w:pPr>
          </w:p>
        </w:tc>
      </w:tr>
      <w:tr>
        <w:trPr>
          <w:trHeight w:val="103"/>
        </w:trPr>
        <w:tc>
          <w:tcPr>
            <w:tcW w:w="4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6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9"/>
              </w:rPr>
              <w:t>delinquency</w:t>
            </w:r>
          </w:p>
        </w:tc>
        <w:tc>
          <w:tcPr>
            <w:tcW w:w="0" w:type="dxa"/>
            <w:vAlign w:val="bottom"/>
          </w:tcPr>
          <w:p>
            <w:pPr>
              <w:spacing w:after="0"/>
              <w:rPr>
                <w:sz w:val="1"/>
                <w:szCs w:val="1"/>
                <w:color w:val="auto"/>
              </w:rPr>
            </w:pPr>
          </w:p>
        </w:tc>
      </w:tr>
      <w:tr>
        <w:trPr>
          <w:trHeight w:val="133"/>
        </w:trPr>
        <w:tc>
          <w:tcPr>
            <w:tcW w:w="44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445"/>
              <w:spacing w:after="0"/>
              <w:rPr>
                <w:sz w:val="20"/>
                <w:szCs w:val="20"/>
                <w:color w:val="auto"/>
              </w:rPr>
            </w:pPr>
            <w:r>
              <w:rPr>
                <w:rFonts w:ascii="Arial" w:cs="Arial" w:eastAsia="Arial" w:hAnsi="Arial"/>
                <w:sz w:val="11"/>
                <w:szCs w:val="11"/>
                <w:b w:val="1"/>
                <w:bCs w:val="1"/>
                <w:color w:val="auto"/>
                <w:w w:val="96"/>
              </w:rPr>
              <w:t>of RIF</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center"/>
              <w:ind w:left="365"/>
              <w:spacing w:after="0"/>
              <w:rPr>
                <w:sz w:val="20"/>
                <w:szCs w:val="20"/>
                <w:color w:val="auto"/>
              </w:rPr>
            </w:pPr>
            <w:r>
              <w:rPr>
                <w:rFonts w:ascii="Arial" w:cs="Arial" w:eastAsia="Arial" w:hAnsi="Arial"/>
                <w:sz w:val="11"/>
                <w:szCs w:val="11"/>
                <w:b w:val="1"/>
                <w:bCs w:val="1"/>
                <w:color w:val="auto"/>
              </w:rPr>
              <w:t>reserves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85"/>
              <w:spacing w:after="0"/>
              <w:rPr>
                <w:sz w:val="20"/>
                <w:szCs w:val="20"/>
                <w:color w:val="auto"/>
              </w:rPr>
            </w:pPr>
            <w:r>
              <w:rPr>
                <w:rFonts w:ascii="Arial" w:cs="Arial" w:eastAsia="Arial" w:hAnsi="Arial"/>
                <w:sz w:val="11"/>
                <w:szCs w:val="11"/>
                <w:b w:val="1"/>
                <w:bCs w:val="1"/>
                <w:color w:val="auto"/>
              </w:rPr>
              <w:t>rate</w:t>
            </w: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1"/>
                <w:szCs w:val="11"/>
                <w:b w:val="1"/>
                <w:bCs w:val="1"/>
                <w:color w:val="auto"/>
                <w:w w:val="92"/>
              </w:rPr>
              <w:t xml:space="preserve">rate </w:t>
            </w:r>
            <w:r>
              <w:rPr>
                <w:rFonts w:ascii="Arial" w:cs="Arial" w:eastAsia="Arial" w:hAnsi="Arial"/>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6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 Year:</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2004 and prior</w:t>
            </w:r>
          </w:p>
        </w:tc>
        <w:tc>
          <w:tcPr>
            <w:tcW w:w="1820" w:type="dxa"/>
            <w:vAlign w:val="bottom"/>
            <w:gridSpan w:val="3"/>
          </w:tcPr>
          <w:p>
            <w:pPr>
              <w:ind w:left="180"/>
              <w:spacing w:after="0"/>
              <w:rPr>
                <w:sz w:val="20"/>
                <w:szCs w:val="20"/>
                <w:color w:val="auto"/>
              </w:rPr>
            </w:pPr>
            <w:r>
              <w:rPr>
                <w:rFonts w:ascii="Arial" w:cs="Arial" w:eastAsia="Arial" w:hAnsi="Arial"/>
                <w:sz w:val="14"/>
                <w:szCs w:val="14"/>
                <w:color w:val="auto"/>
              </w:rPr>
              <w:t>— %</w:t>
            </w:r>
          </w:p>
        </w:tc>
        <w:tc>
          <w:tcPr>
            <w:tcW w:w="420" w:type="dxa"/>
            <w:vAlign w:val="bottom"/>
          </w:tcPr>
          <w:p>
            <w:pPr>
              <w:jc w:val="right"/>
              <w:spacing w:after="0"/>
              <w:rPr>
                <w:sz w:val="20"/>
                <w:szCs w:val="20"/>
                <w:color w:val="auto"/>
              </w:rPr>
            </w:pPr>
            <w:r>
              <w:rPr>
                <w:rFonts w:ascii="Arial" w:cs="Arial" w:eastAsia="Arial" w:hAnsi="Arial"/>
                <w:sz w:val="14"/>
                <w:szCs w:val="14"/>
                <w:color w:val="auto"/>
              </w:rPr>
              <w:t>3 %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16.82 %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3.62 %</w:t>
            </w:r>
          </w:p>
        </w:tc>
        <w:tc>
          <w:tcPr>
            <w:tcW w:w="0" w:type="dxa"/>
            <w:vAlign w:val="bottom"/>
          </w:tcPr>
          <w:p>
            <w:pPr>
              <w:spacing w:after="0"/>
              <w:rPr>
                <w:sz w:val="1"/>
                <w:szCs w:val="1"/>
                <w:color w:val="auto"/>
              </w:rPr>
            </w:pPr>
          </w:p>
        </w:tc>
      </w:tr>
      <w:tr>
        <w:trPr>
          <w:trHeight w:val="17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2005 to 2008</w:t>
            </w: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25</w:t>
            </w:r>
          </w:p>
        </w:tc>
        <w:tc>
          <w:tcPr>
            <w:tcW w:w="1740" w:type="dxa"/>
            <w:vAlign w:val="bottom"/>
            <w:gridSpan w:val="2"/>
            <w:shd w:val="clear" w:color="auto" w:fill="CCEEFF"/>
          </w:tcPr>
          <w:p>
            <w:pPr>
              <w:jc w:val="right"/>
              <w:ind w:right="125"/>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18.79 %</w:t>
            </w:r>
          </w:p>
        </w:tc>
        <w:tc>
          <w:tcPr>
            <w:tcW w:w="0" w:type="dxa"/>
            <w:vAlign w:val="bottom"/>
          </w:tcPr>
          <w:p>
            <w:pPr>
              <w:spacing w:after="0"/>
              <w:rPr>
                <w:sz w:val="1"/>
                <w:szCs w:val="1"/>
                <w:color w:val="auto"/>
              </w:rPr>
            </w:pPr>
          </w:p>
        </w:tc>
      </w:tr>
      <w:tr>
        <w:trPr>
          <w:trHeight w:val="17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2009 to 2013</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ind w:right="125"/>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0.91 %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ind w:right="125"/>
              <w:spacing w:after="0"/>
              <w:rPr>
                <w:sz w:val="20"/>
                <w:szCs w:val="20"/>
                <w:color w:val="auto"/>
              </w:rPr>
            </w:pPr>
            <w:r>
              <w:rPr>
                <w:rFonts w:ascii="Arial" w:cs="Arial" w:eastAsia="Arial" w:hAnsi="Arial"/>
                <w:sz w:val="14"/>
                <w:szCs w:val="14"/>
                <w:color w:val="auto"/>
              </w:rPr>
              <w:t>6.06</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2015</w:t>
            </w:r>
          </w:p>
        </w:tc>
        <w:tc>
          <w:tcPr>
            <w:tcW w:w="1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1740" w:type="dxa"/>
            <w:vAlign w:val="bottom"/>
            <w:gridSpan w:val="2"/>
          </w:tcPr>
          <w:p>
            <w:pPr>
              <w:jc w:val="right"/>
              <w:ind w:right="125"/>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1.97 %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1740" w:type="dxa"/>
            <w:vAlign w:val="bottom"/>
            <w:gridSpan w:val="2"/>
            <w:shd w:val="clear" w:color="auto" w:fill="CCEEFF"/>
          </w:tcPr>
          <w:p>
            <w:pPr>
              <w:jc w:val="right"/>
              <w:ind w:right="125"/>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2017</w:t>
            </w:r>
          </w:p>
        </w:tc>
        <w:tc>
          <w:tcPr>
            <w:tcW w:w="1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1740" w:type="dxa"/>
            <w:vAlign w:val="bottom"/>
            <w:gridSpan w:val="2"/>
          </w:tcPr>
          <w:p>
            <w:pPr>
              <w:jc w:val="right"/>
              <w:ind w:right="125"/>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3.34 %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1740" w:type="dxa"/>
            <w:vAlign w:val="bottom"/>
            <w:gridSpan w:val="2"/>
            <w:shd w:val="clear" w:color="auto" w:fill="CCEEFF"/>
          </w:tcPr>
          <w:p>
            <w:pPr>
              <w:jc w:val="right"/>
              <w:ind w:right="125"/>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2019</w:t>
            </w:r>
          </w:p>
        </w:tc>
        <w:tc>
          <w:tcPr>
            <w:tcW w:w="1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19</w:t>
            </w:r>
          </w:p>
        </w:tc>
        <w:tc>
          <w:tcPr>
            <w:tcW w:w="1740" w:type="dxa"/>
            <w:vAlign w:val="bottom"/>
            <w:gridSpan w:val="2"/>
          </w:tcPr>
          <w:p>
            <w:pPr>
              <w:jc w:val="right"/>
              <w:ind w:right="125"/>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3.93 %</w:t>
            </w:r>
          </w:p>
        </w:tc>
        <w:tc>
          <w:tcPr>
            <w:tcW w:w="0" w:type="dxa"/>
            <w:vAlign w:val="bottom"/>
          </w:tcPr>
          <w:p>
            <w:pPr>
              <w:spacing w:after="0"/>
              <w:rPr>
                <w:sz w:val="1"/>
                <w:szCs w:val="1"/>
                <w:color w:val="auto"/>
              </w:rPr>
            </w:pPr>
          </w:p>
        </w:tc>
      </w:tr>
      <w:tr>
        <w:trPr>
          <w:trHeight w:val="174"/>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1740" w:type="dxa"/>
            <w:vAlign w:val="bottom"/>
            <w:gridSpan w:val="2"/>
            <w:shd w:val="clear" w:color="auto" w:fill="CCEEFF"/>
          </w:tcPr>
          <w:p>
            <w:pPr>
              <w:jc w:val="right"/>
              <w:ind w:right="125"/>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65"/>
        </w:trPr>
        <w:tc>
          <w:tcPr>
            <w:tcW w:w="5580" w:type="dxa"/>
            <w:vAlign w:val="bottom"/>
            <w:gridSpan w:val="2"/>
          </w:tcPr>
          <w:p>
            <w:pPr>
              <w:ind w:left="180"/>
              <w:spacing w:after="0"/>
              <w:rPr>
                <w:sz w:val="20"/>
                <w:szCs w:val="20"/>
                <w:color w:val="auto"/>
              </w:rPr>
            </w:pPr>
            <w:r>
              <w:rPr>
                <w:rFonts w:ascii="Arial" w:cs="Arial" w:eastAsia="Arial" w:hAnsi="Arial"/>
                <w:sz w:val="14"/>
                <w:szCs w:val="14"/>
                <w:color w:val="auto"/>
              </w:rPr>
              <w:t>Total portfolio</w:t>
            </w:r>
          </w:p>
        </w:tc>
        <w:tc>
          <w:tcPr>
            <w:tcW w:w="50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5"/>
              </w:rPr>
              <w:t>100 %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4.86 %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4.86 %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tabs>
          <w:tab w:leader="none" w:pos="240" w:val="left"/>
        </w:tabs>
        <w:numPr>
          <w:ilvl w:val="0"/>
          <w:numId w:val="49"/>
        </w:numPr>
        <w:rPr>
          <w:rFonts w:ascii="Arial" w:cs="Arial" w:eastAsia="Arial" w:hAnsi="Arial"/>
          <w:sz w:val="7"/>
          <w:szCs w:val="7"/>
          <w:color w:val="auto"/>
        </w:rPr>
      </w:pPr>
      <w:r>
        <w:rPr>
          <w:rFonts w:ascii="Arial" w:cs="Arial" w:eastAsia="Arial" w:hAnsi="Arial"/>
          <w:sz w:val="11"/>
          <w:szCs w:val="11"/>
          <w:color w:val="auto"/>
        </w:rPr>
        <w:t>Calculated as the sum of the number of policies where claims were ever paid to date and number of policies for loans currently in default divided by policies ever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2" w:name="page113"/>
    <w:bookmarkEnd w:id="112"/>
    <w:p>
      <w:pPr>
        <w:ind w:left="240"/>
        <w:spacing w:after="0"/>
        <w:rPr>
          <w:sz w:val="20"/>
          <w:szCs w:val="20"/>
          <w:color w:val="auto"/>
        </w:rPr>
      </w:pPr>
      <w:r>
        <w:rPr>
          <w:rFonts w:ascii="Arial" w:cs="Arial" w:eastAsia="Arial" w:hAnsi="Arial"/>
          <w:sz w:val="14"/>
          <w:szCs w:val="14"/>
          <w:color w:val="auto"/>
        </w:rPr>
        <w:t>The following table sets forth the dispersion of primary RIF and loss reserves by policy year and delinquency rates as of December 31,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120" w:type="dxa"/>
            <w:vAlign w:val="bottom"/>
            <w:vMerge w:val="restart"/>
          </w:tcPr>
          <w:p>
            <w:pPr>
              <w:jc w:val="center"/>
              <w:ind w:left="445"/>
              <w:spacing w:after="0"/>
              <w:rPr>
                <w:sz w:val="20"/>
                <w:szCs w:val="20"/>
                <w:color w:val="auto"/>
              </w:rPr>
            </w:pPr>
            <w:r>
              <w:rPr>
                <w:rFonts w:ascii="Arial" w:cs="Arial" w:eastAsia="Arial" w:hAnsi="Arial"/>
                <w:sz w:val="11"/>
                <w:szCs w:val="11"/>
                <w:b w:val="1"/>
                <w:bCs w:val="1"/>
                <w:color w:val="auto"/>
              </w:rPr>
              <w:t>Percent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center"/>
              <w:ind w:left="385"/>
              <w:spacing w:after="0"/>
              <w:rPr>
                <w:sz w:val="20"/>
                <w:szCs w:val="20"/>
                <w:color w:val="auto"/>
              </w:rPr>
            </w:pPr>
            <w:r>
              <w:rPr>
                <w:rFonts w:ascii="Arial" w:cs="Arial" w:eastAsia="Arial" w:hAnsi="Arial"/>
                <w:sz w:val="11"/>
                <w:szCs w:val="11"/>
                <w:b w:val="1"/>
                <w:bCs w:val="1"/>
                <w:color w:val="auto"/>
                <w:w w:val="99"/>
              </w:rPr>
              <w:t>Percent of 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Delinquency</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Cumulative</w:t>
            </w:r>
          </w:p>
        </w:tc>
        <w:tc>
          <w:tcPr>
            <w:tcW w:w="0" w:type="dxa"/>
            <w:vAlign w:val="bottom"/>
          </w:tcPr>
          <w:p>
            <w:pPr>
              <w:spacing w:after="0"/>
              <w:rPr>
                <w:sz w:val="1"/>
                <w:szCs w:val="1"/>
                <w:color w:val="auto"/>
              </w:rPr>
            </w:pPr>
          </w:p>
        </w:tc>
      </w:tr>
      <w:tr>
        <w:trPr>
          <w:trHeight w:val="103"/>
        </w:trPr>
        <w:tc>
          <w:tcPr>
            <w:tcW w:w="4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6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9"/>
              </w:rPr>
              <w:t>delinquency</w:t>
            </w:r>
          </w:p>
        </w:tc>
        <w:tc>
          <w:tcPr>
            <w:tcW w:w="0" w:type="dxa"/>
            <w:vAlign w:val="bottom"/>
          </w:tcPr>
          <w:p>
            <w:pPr>
              <w:spacing w:after="0"/>
              <w:rPr>
                <w:sz w:val="1"/>
                <w:szCs w:val="1"/>
                <w:color w:val="auto"/>
              </w:rPr>
            </w:pPr>
          </w:p>
        </w:tc>
      </w:tr>
      <w:tr>
        <w:trPr>
          <w:trHeight w:val="133"/>
        </w:trPr>
        <w:tc>
          <w:tcPr>
            <w:tcW w:w="44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445"/>
              <w:spacing w:after="0"/>
              <w:rPr>
                <w:sz w:val="20"/>
                <w:szCs w:val="20"/>
                <w:color w:val="auto"/>
              </w:rPr>
            </w:pPr>
            <w:r>
              <w:rPr>
                <w:rFonts w:ascii="Arial" w:cs="Arial" w:eastAsia="Arial" w:hAnsi="Arial"/>
                <w:sz w:val="11"/>
                <w:szCs w:val="11"/>
                <w:b w:val="1"/>
                <w:bCs w:val="1"/>
                <w:color w:val="auto"/>
                <w:w w:val="96"/>
              </w:rPr>
              <w:t>of RIF</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center"/>
              <w:ind w:left="365"/>
              <w:spacing w:after="0"/>
              <w:rPr>
                <w:sz w:val="20"/>
                <w:szCs w:val="20"/>
                <w:color w:val="auto"/>
              </w:rPr>
            </w:pPr>
            <w:r>
              <w:rPr>
                <w:rFonts w:ascii="Arial" w:cs="Arial" w:eastAsia="Arial" w:hAnsi="Arial"/>
                <w:sz w:val="11"/>
                <w:szCs w:val="11"/>
                <w:b w:val="1"/>
                <w:bCs w:val="1"/>
                <w:color w:val="auto"/>
              </w:rPr>
              <w:t>reserves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85"/>
              <w:spacing w:after="0"/>
              <w:rPr>
                <w:sz w:val="20"/>
                <w:szCs w:val="20"/>
                <w:color w:val="auto"/>
              </w:rPr>
            </w:pPr>
            <w:r>
              <w:rPr>
                <w:rFonts w:ascii="Arial" w:cs="Arial" w:eastAsia="Arial" w:hAnsi="Arial"/>
                <w:sz w:val="11"/>
                <w:szCs w:val="11"/>
                <w:b w:val="1"/>
                <w:bCs w:val="1"/>
                <w:color w:val="auto"/>
              </w:rPr>
              <w:t>rate</w:t>
            </w: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1"/>
                <w:szCs w:val="11"/>
                <w:b w:val="1"/>
                <w:bCs w:val="1"/>
                <w:color w:val="auto"/>
                <w:w w:val="92"/>
              </w:rPr>
              <w:t xml:space="preserve">rate </w:t>
            </w:r>
            <w:r>
              <w:rPr>
                <w:rFonts w:ascii="Arial" w:cs="Arial" w:eastAsia="Arial" w:hAnsi="Arial"/>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6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 Year:</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2004 and prior</w:t>
            </w:r>
          </w:p>
        </w:tc>
        <w:tc>
          <w:tcPr>
            <w:tcW w:w="50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14.62 %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3.61 %</w:t>
            </w:r>
          </w:p>
        </w:tc>
        <w:tc>
          <w:tcPr>
            <w:tcW w:w="0" w:type="dxa"/>
            <w:vAlign w:val="bottom"/>
          </w:tcPr>
          <w:p>
            <w:pPr>
              <w:spacing w:after="0"/>
              <w:rPr>
                <w:sz w:val="1"/>
                <w:szCs w:val="1"/>
                <w:color w:val="auto"/>
              </w:rPr>
            </w:pPr>
          </w:p>
        </w:tc>
      </w:tr>
      <w:tr>
        <w:trPr>
          <w:trHeight w:val="17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2005 to 2008</w:t>
            </w: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8.47 %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18.48 %</w:t>
            </w:r>
          </w:p>
        </w:tc>
        <w:tc>
          <w:tcPr>
            <w:tcW w:w="0" w:type="dxa"/>
            <w:vAlign w:val="bottom"/>
          </w:tcPr>
          <w:p>
            <w:pPr>
              <w:spacing w:after="0"/>
              <w:rPr>
                <w:sz w:val="1"/>
                <w:szCs w:val="1"/>
                <w:color w:val="auto"/>
              </w:rPr>
            </w:pPr>
          </w:p>
        </w:tc>
      </w:tr>
      <w:tr>
        <w:trPr>
          <w:trHeight w:val="17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2009 to 2012</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2.42 %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0.87 %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2014</w:t>
            </w:r>
          </w:p>
        </w:tc>
        <w:tc>
          <w:tcPr>
            <w:tcW w:w="1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2.04 %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0.94 %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w:t>
            </w: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2016</w:t>
            </w:r>
          </w:p>
        </w:tc>
        <w:tc>
          <w:tcPr>
            <w:tcW w:w="1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9</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1.22 %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0.89 %</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4"/>
                <w:szCs w:val="14"/>
                <w:color w:val="auto"/>
              </w:rPr>
              <w:t>2018</w:t>
            </w:r>
          </w:p>
        </w:tc>
        <w:tc>
          <w:tcPr>
            <w:tcW w:w="1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7</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0.88 %</w:t>
            </w:r>
          </w:p>
        </w:tc>
        <w:tc>
          <w:tcPr>
            <w:tcW w:w="0" w:type="dxa"/>
            <w:vAlign w:val="bottom"/>
          </w:tcPr>
          <w:p>
            <w:pPr>
              <w:spacing w:after="0"/>
              <w:rPr>
                <w:sz w:val="1"/>
                <w:szCs w:val="1"/>
                <w:color w:val="auto"/>
              </w:rPr>
            </w:pPr>
          </w:p>
        </w:tc>
      </w:tr>
      <w:tr>
        <w:trPr>
          <w:trHeight w:val="174"/>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0.18 %</w:t>
            </w:r>
          </w:p>
        </w:tc>
        <w:tc>
          <w:tcPr>
            <w:tcW w:w="0" w:type="dxa"/>
            <w:vAlign w:val="bottom"/>
          </w:tcPr>
          <w:p>
            <w:pPr>
              <w:spacing w:after="0"/>
              <w:rPr>
                <w:sz w:val="1"/>
                <w:szCs w:val="1"/>
                <w:color w:val="auto"/>
              </w:rPr>
            </w:pPr>
          </w:p>
        </w:tc>
      </w:tr>
      <w:tr>
        <w:trPr>
          <w:trHeight w:val="165"/>
        </w:trPr>
        <w:tc>
          <w:tcPr>
            <w:tcW w:w="5580" w:type="dxa"/>
            <w:vAlign w:val="bottom"/>
            <w:gridSpan w:val="2"/>
          </w:tcPr>
          <w:p>
            <w:pPr>
              <w:ind w:left="180"/>
              <w:spacing w:after="0"/>
              <w:rPr>
                <w:sz w:val="20"/>
                <w:szCs w:val="20"/>
                <w:color w:val="auto"/>
              </w:rPr>
            </w:pPr>
            <w:r>
              <w:rPr>
                <w:rFonts w:ascii="Arial" w:cs="Arial" w:eastAsia="Arial" w:hAnsi="Arial"/>
                <w:sz w:val="14"/>
                <w:szCs w:val="14"/>
                <w:color w:val="auto"/>
              </w:rPr>
              <w:t>Total portfolio</w:t>
            </w:r>
          </w:p>
        </w:tc>
        <w:tc>
          <w:tcPr>
            <w:tcW w:w="50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5"/>
              </w:rPr>
              <w:t>100 %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1.93 %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4.69 %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50"/>
        </w:numPr>
        <w:rPr>
          <w:rFonts w:ascii="Arial" w:cs="Arial" w:eastAsia="Arial" w:hAnsi="Arial"/>
          <w:sz w:val="14"/>
          <w:szCs w:val="14"/>
          <w:color w:val="auto"/>
          <w:vertAlign w:val="superscript"/>
        </w:rPr>
      </w:pPr>
      <w:r>
        <w:rPr>
          <w:rFonts w:ascii="Arial" w:cs="Arial" w:eastAsia="Arial" w:hAnsi="Arial"/>
          <w:sz w:val="11"/>
          <w:szCs w:val="11"/>
          <w:color w:val="auto"/>
        </w:rPr>
        <w:t>Calculated as the sum of the number of policies where claims were ever paid to date and number of policies for loans currently in default divided by policies ever in-force.</w:t>
      </w:r>
    </w:p>
    <w:p>
      <w:pPr>
        <w:spacing w:after="0" w:line="11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Loss reserves in policy years 2005 through 2008 are outsized compared to their representation of RIF. The size of these policy years at origination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 a result of the COVID-19 pandemic given their significant representation of RIF. As of December 31, 2021, our 2014 and newer policy years represented approximately 96% of our primary RIF and 74% of our total direct primary case reserves.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Portfolio</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investment portfolio is affected by factors described below, each of which in turn may be affected by COVID-19 as noted above in “—Trends and Conditions.” Management of our investment portfolio has been delegated by our board of directors to our Parent’s investment committee and chief investment officer. Our Parent’s investment team, with oversight from our board of directors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122" w:lineRule="exact"/>
        <w:rPr>
          <w:sz w:val="20"/>
          <w:szCs w:val="20"/>
          <w:color w:val="auto"/>
        </w:rPr>
      </w:pPr>
    </w:p>
    <w:p>
      <w:pPr>
        <w:ind w:left="500" w:hanging="25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Meet policyholder obligations through maintenance of sufficient liquidity;</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Preserve capital;</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Generate investment income;</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Maximize statutory capital; and</w:t>
      </w:r>
    </w:p>
    <w:p>
      <w:pPr>
        <w:spacing w:after="0" w:line="126" w:lineRule="exact"/>
        <w:rPr>
          <w:rFonts w:ascii="Arial" w:cs="Arial" w:eastAsia="Arial" w:hAnsi="Arial"/>
          <w:sz w:val="14"/>
          <w:szCs w:val="14"/>
          <w:color w:val="auto"/>
        </w:rPr>
      </w:pPr>
    </w:p>
    <w:p>
      <w:pPr>
        <w:ind w:left="240" w:right="6180" w:firstLine="8"/>
        <w:spacing w:after="0" w:line="461" w:lineRule="auto"/>
        <w:tabs>
          <w:tab w:leader="none" w:pos="483"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Increase value to our Parent and its stockholders, among other objectives. To achieve our portfolio objectives, our investment strategy focuses primarily on:</w:t>
      </w:r>
    </w:p>
    <w:p>
      <w:pPr>
        <w:ind w:left="500" w:hanging="25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business outlook, current and expected future investment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3" w:name="page114"/>
    <w:bookmarkEnd w:id="113"/>
    <w:p>
      <w:pPr>
        <w:ind w:left="500" w:hanging="25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Investments selection based on fundamental, research-driven strategies;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Diversification across a mix of fixed income, low-volatility investments while actively pursuing strategies to enhance yield;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Regular evaluation and optimization of our asset class mix;</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Continuous monitoring of investment quality, duration and liquidity;</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Regulatory capital requirements; and</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Restriction of investments correlated to the residential mortgage market.</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Fixed Maturity Securities Available-for-Sale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the fair value of our fixed maturity securities available-for-sale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auto"/>
              </w:rPr>
              <w:t>December 31, 2021</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b w:val="1"/>
                <w:bCs w:val="1"/>
                <w:color w:val="auto"/>
              </w:rPr>
              <w:t>December 31, 2020</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b w:val="1"/>
                <w:bCs w:val="1"/>
                <w:color w:val="auto"/>
              </w:rPr>
              <w:t>December 31, 2019</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40" w:type="dxa"/>
            <w:vAlign w:val="bottom"/>
          </w:tcPr>
          <w:p>
            <w:pPr>
              <w:spacing w:after="0"/>
              <w:rPr>
                <w:sz w:val="8"/>
                <w:szCs w:val="8"/>
                <w:color w:val="auto"/>
              </w:rPr>
            </w:pPr>
          </w:p>
        </w:tc>
        <w:tc>
          <w:tcPr>
            <w:tcW w:w="16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320" w:type="dxa"/>
            <w:vAlign w:val="bottom"/>
          </w:tcPr>
          <w:p>
            <w:pPr>
              <w:ind w:left="40"/>
              <w:spacing w:after="0" w:line="103" w:lineRule="exact"/>
              <w:rPr>
                <w:sz w:val="20"/>
                <w:szCs w:val="20"/>
                <w:color w:val="auto"/>
              </w:rPr>
            </w:pPr>
            <w:r>
              <w:rPr>
                <w:rFonts w:ascii="Arial" w:cs="Arial" w:eastAsia="Arial" w:hAnsi="Arial"/>
                <w:sz w:val="11"/>
                <w:szCs w:val="11"/>
                <w:b w:val="1"/>
                <w:bCs w:val="1"/>
                <w:color w:val="auto"/>
              </w:rPr>
              <w:t>% of</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320" w:type="dxa"/>
            <w:vAlign w:val="bottom"/>
          </w:tcPr>
          <w:p>
            <w:pPr>
              <w:ind w:left="40"/>
              <w:spacing w:after="0" w:line="103" w:lineRule="exact"/>
              <w:rPr>
                <w:sz w:val="20"/>
                <w:szCs w:val="20"/>
                <w:color w:val="auto"/>
              </w:rPr>
            </w:pPr>
            <w:r>
              <w:rPr>
                <w:rFonts w:ascii="Arial" w:cs="Arial" w:eastAsia="Arial" w:hAnsi="Arial"/>
                <w:sz w:val="11"/>
                <w:szCs w:val="11"/>
                <w:b w:val="1"/>
                <w:bCs w:val="1"/>
                <w:color w:val="auto"/>
              </w:rPr>
              <w:t>% of</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840" w:type="dxa"/>
            <w:vAlign w:val="bottom"/>
          </w:tcPr>
          <w:p>
            <w:pPr>
              <w:jc w:val="right"/>
              <w:ind w:right="520"/>
              <w:spacing w:after="0" w:line="103" w:lineRule="exact"/>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33"/>
        </w:trPr>
        <w:tc>
          <w:tcPr>
            <w:tcW w:w="2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840" w:type="dxa"/>
            <w:vAlign w:val="bottom"/>
          </w:tcPr>
          <w:p>
            <w:pPr>
              <w:jc w:val="right"/>
              <w:ind w:right="5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5"/>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U.S. government, agencies and GSEs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58,408</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138,224</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92,336</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0" w:type="dxa"/>
            <w:vAlign w:val="bottom"/>
          </w:tcPr>
          <w:p>
            <w:pPr>
              <w:spacing w:after="0"/>
              <w:rPr>
                <w:sz w:val="1"/>
                <w:szCs w:val="1"/>
                <w:color w:val="auto"/>
              </w:rPr>
            </w:pPr>
          </w:p>
        </w:tc>
      </w:tr>
      <w:tr>
        <w:trPr>
          <w:trHeight w:val="174"/>
        </w:trPr>
        <w:tc>
          <w:tcPr>
            <w:tcW w:w="2860" w:type="dxa"/>
            <w:vAlign w:val="bottom"/>
          </w:tcPr>
          <w:p>
            <w:pPr>
              <w:ind w:left="20"/>
              <w:spacing w:after="0"/>
              <w:rPr>
                <w:sz w:val="20"/>
                <w:szCs w:val="20"/>
                <w:color w:val="auto"/>
              </w:rPr>
            </w:pPr>
            <w:r>
              <w:rPr>
                <w:rFonts w:ascii="Arial" w:cs="Arial" w:eastAsia="Arial" w:hAnsi="Arial"/>
                <w:sz w:val="12"/>
                <w:szCs w:val="12"/>
                <w:color w:val="auto"/>
              </w:rPr>
              <w:t>State and political subdivisions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538,453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ind w:right="98"/>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187,377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ind w:right="98"/>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98,159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Non-U.S. government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31,031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19,434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74"/>
        </w:trPr>
        <w:tc>
          <w:tcPr>
            <w:tcW w:w="2860" w:type="dxa"/>
            <w:vAlign w:val="bottom"/>
          </w:tcPr>
          <w:p>
            <w:pPr>
              <w:ind w:left="20"/>
              <w:spacing w:after="0"/>
              <w:rPr>
                <w:sz w:val="20"/>
                <w:szCs w:val="20"/>
                <w:color w:val="auto"/>
              </w:rPr>
            </w:pPr>
            <w:r>
              <w:rPr>
                <w:rFonts w:ascii="Arial" w:cs="Arial" w:eastAsia="Arial" w:hAnsi="Arial"/>
                <w:sz w:val="12"/>
                <w:szCs w:val="12"/>
                <w:color w:val="auto"/>
              </w:rPr>
              <w:t>U.S. corporate</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2,945,303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ind w:right="98"/>
              <w:spacing w:after="0"/>
              <w:rPr>
                <w:sz w:val="20"/>
                <w:szCs w:val="20"/>
                <w:color w:val="auto"/>
              </w:rPr>
            </w:pPr>
            <w:r>
              <w:rPr>
                <w:rFonts w:ascii="Arial" w:cs="Arial" w:eastAsia="Arial" w:hAnsi="Arial"/>
                <w:sz w:val="12"/>
                <w:szCs w:val="12"/>
                <w:color w:val="auto"/>
              </w:rPr>
              <w:t>55.9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2,888,625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ind w:right="98"/>
              <w:spacing w:after="0"/>
              <w:rPr>
                <w:sz w:val="20"/>
                <w:szCs w:val="20"/>
                <w:color w:val="auto"/>
              </w:rPr>
            </w:pPr>
            <w:r>
              <w:rPr>
                <w:rFonts w:ascii="Arial" w:cs="Arial" w:eastAsia="Arial" w:hAnsi="Arial"/>
                <w:sz w:val="12"/>
                <w:szCs w:val="12"/>
                <w:color w:val="auto"/>
              </w:rPr>
              <w:t>57.3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2,261,446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60.1</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Non-U.S. corporate</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666,594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607,669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12.0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364,469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asset-backed</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1,035,165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19.7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1,193,670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23.7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928,588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8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available-for-sale fixed maturity securities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5,266,339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5,046,596</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3,764,432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investment portfolio did not include any direct residential real estate or whole mortgage loans as of December 31, 2021 or December 31, 2020 and December 31, 2019. We have no derivative financial instruments in our investment portfolio.</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As of December 31, 2021, December 31, 2020 and December 31, 2019, 97%, 98%, 99% of our investment portfolio was rated investment grade, respectively. The following table presents the security ratings of our fixed maturity securities as of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0"/>
                <w:szCs w:val="10"/>
                <w:color w:val="auto"/>
              </w:rPr>
            </w:pPr>
          </w:p>
        </w:tc>
        <w:tc>
          <w:tcPr>
            <w:tcW w:w="1240" w:type="dxa"/>
            <w:vAlign w:val="bottom"/>
          </w:tcPr>
          <w:p>
            <w:pPr>
              <w:jc w:val="center"/>
              <w:ind w:left="385"/>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ind w:left="480"/>
              <w:spacing w:after="0"/>
              <w:rPr>
                <w:sz w:val="20"/>
                <w:szCs w:val="20"/>
                <w:color w:val="auto"/>
              </w:rPr>
            </w:pPr>
            <w:r>
              <w:rPr>
                <w:rFonts w:ascii="Arial" w:cs="Arial" w:eastAsia="Arial" w:hAnsi="Arial"/>
                <w:sz w:val="11"/>
                <w:szCs w:val="11"/>
                <w:b w:val="1"/>
                <w:bCs w:val="1"/>
                <w:color w:val="auto"/>
              </w:rPr>
              <w:t>December 31,</w:t>
            </w:r>
          </w:p>
        </w:tc>
        <w:tc>
          <w:tcPr>
            <w:tcW w:w="1660" w:type="dxa"/>
            <w:vAlign w:val="bottom"/>
          </w:tcPr>
          <w:p>
            <w:pPr>
              <w:jc w:val="right"/>
              <w:ind w:right="415"/>
              <w:spacing w:after="0"/>
              <w:rPr>
                <w:sz w:val="20"/>
                <w:szCs w:val="20"/>
                <w:color w:val="auto"/>
              </w:rPr>
            </w:pPr>
            <w:r>
              <w:rPr>
                <w:rFonts w:ascii="Arial" w:cs="Arial" w:eastAsia="Arial" w:hAnsi="Arial"/>
                <w:sz w:val="11"/>
                <w:szCs w:val="11"/>
                <w:b w:val="1"/>
                <w:bCs w:val="1"/>
                <w:color w:val="auto"/>
              </w:rPr>
              <w:t>December 31,</w:t>
            </w:r>
          </w:p>
        </w:tc>
      </w:tr>
      <w:tr>
        <w:trPr>
          <w:trHeight w:val="133"/>
        </w:trPr>
        <w:tc>
          <w:tcPr>
            <w:tcW w:w="61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2019</w:t>
            </w:r>
          </w:p>
        </w:tc>
      </w:tr>
      <w:tr>
        <w:trPr>
          <w:trHeight w:val="165"/>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74"/>
        </w:trPr>
        <w:tc>
          <w:tcPr>
            <w:tcW w:w="734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440" w:type="dxa"/>
            <w:vAlign w:val="bottom"/>
          </w:tcPr>
          <w:p>
            <w:pPr>
              <w:jc w:val="right"/>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75"/>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r>
      <w:tr>
        <w:trPr>
          <w:trHeight w:val="174"/>
        </w:trPr>
        <w:tc>
          <w:tcPr>
            <w:tcW w:w="734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440" w:type="dxa"/>
            <w:vAlign w:val="bottom"/>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174"/>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&amp; below</w:t>
            </w:r>
          </w:p>
        </w:tc>
        <w:tc>
          <w:tcPr>
            <w:tcW w:w="1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65"/>
        </w:trPr>
        <w:tc>
          <w:tcPr>
            <w:tcW w:w="73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6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4" w:name="page115"/>
    <w:bookmarkEnd w:id="114"/>
    <w:p>
      <w:pPr>
        <w:ind w:left="240"/>
        <w:spacing w:after="0"/>
        <w:rPr>
          <w:sz w:val="20"/>
          <w:szCs w:val="20"/>
          <w:color w:val="auto"/>
        </w:rPr>
      </w:pPr>
      <w:r>
        <w:rPr>
          <w:rFonts w:ascii="Arial" w:cs="Arial" w:eastAsia="Arial" w:hAnsi="Arial"/>
          <w:sz w:val="14"/>
          <w:szCs w:val="14"/>
          <w:color w:val="auto"/>
        </w:rPr>
        <w:t>The table below presents the effective duration and investment yield on our investments available-for-sale, excluding cash and cash equivalents: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240" w:type="dxa"/>
            <w:vAlign w:val="bottom"/>
          </w:tcPr>
          <w:p>
            <w:pPr>
              <w:jc w:val="center"/>
              <w:ind w:left="365"/>
              <w:spacing w:after="0"/>
              <w:rPr>
                <w:sz w:val="20"/>
                <w:szCs w:val="20"/>
                <w:color w:val="auto"/>
              </w:rPr>
            </w:pPr>
            <w:r>
              <w:rPr>
                <w:rFonts w:ascii="Arial" w:cs="Arial" w:eastAsia="Arial" w:hAnsi="Arial"/>
                <w:sz w:val="11"/>
                <w:szCs w:val="11"/>
                <w:b w:val="1"/>
                <w:bCs w:val="1"/>
                <w:color w:val="auto"/>
                <w:w w:val="97"/>
              </w:rPr>
              <w:t>December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ind w:left="480"/>
              <w:spacing w:after="0"/>
              <w:rPr>
                <w:sz w:val="20"/>
                <w:szCs w:val="20"/>
                <w:color w:val="auto"/>
              </w:rPr>
            </w:pPr>
            <w:r>
              <w:rPr>
                <w:rFonts w:ascii="Arial" w:cs="Arial" w:eastAsia="Arial" w:hAnsi="Arial"/>
                <w:sz w:val="11"/>
                <w:szCs w:val="11"/>
                <w:b w:val="1"/>
                <w:bCs w:val="1"/>
                <w:color w:val="auto"/>
              </w:rPr>
              <w:t>December 31,</w:t>
            </w:r>
          </w:p>
        </w:tc>
        <w:tc>
          <w:tcPr>
            <w:tcW w:w="1660" w:type="dxa"/>
            <w:vAlign w:val="bottom"/>
          </w:tcPr>
          <w:p>
            <w:pPr>
              <w:jc w:val="right"/>
              <w:ind w:right="418"/>
              <w:spacing w:after="0"/>
              <w:rPr>
                <w:sz w:val="20"/>
                <w:szCs w:val="20"/>
                <w:color w:val="auto"/>
              </w:rPr>
            </w:pPr>
            <w:r>
              <w:rPr>
                <w:rFonts w:ascii="Arial" w:cs="Arial" w:eastAsia="Arial" w:hAnsi="Arial"/>
                <w:sz w:val="11"/>
                <w:szCs w:val="11"/>
                <w:b w:val="1"/>
                <w:bCs w:val="1"/>
                <w:color w:val="auto"/>
              </w:rPr>
              <w:t>December 31,</w:t>
            </w:r>
          </w:p>
        </w:tc>
      </w:tr>
      <w:tr>
        <w:trPr>
          <w:trHeight w:val="133"/>
        </w:trPr>
        <w:tc>
          <w:tcPr>
            <w:tcW w:w="6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rPr>
              <w:t>2019</w:t>
            </w:r>
          </w:p>
        </w:tc>
      </w:tr>
      <w:tr>
        <w:trPr>
          <w:trHeight w:val="16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Duration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73"/>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Pre-tax yield (% of average investment portfolio assets)</w:t>
            </w:r>
          </w:p>
        </w:tc>
        <w:tc>
          <w:tcPr>
            <w:tcW w:w="42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3.3 %</w:t>
            </w:r>
          </w:p>
        </w:tc>
      </w:tr>
    </w:tbl>
    <w:p>
      <w:pPr>
        <w:spacing w:after="0" w:line="19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primarily mitigate interest rate risk by employing a buy and hold investment philosophy that seeks to match fixed income maturities with expected liability cash flows in modestly adverse economic scenarios.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Cash Flows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our consolidated cash flows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4"/>
        </w:trPr>
        <w:tc>
          <w:tcPr>
            <w:tcW w:w="598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572,117</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704,350</w:t>
            </w:r>
          </w:p>
        </w:tc>
        <w:tc>
          <w:tcPr>
            <w:tcW w:w="8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Pr>
          <w:p>
            <w:pPr>
              <w:jc w:val="center"/>
              <w:ind w:left="514"/>
              <w:spacing w:after="0"/>
              <w:rPr>
                <w:sz w:val="20"/>
                <w:szCs w:val="20"/>
                <w:color w:val="auto"/>
              </w:rPr>
            </w:pPr>
            <w:r>
              <w:rPr>
                <w:rFonts w:ascii="Arial" w:cs="Arial" w:eastAsia="Arial" w:hAnsi="Arial"/>
                <w:sz w:val="14"/>
                <w:szCs w:val="14"/>
                <w:color w:val="auto"/>
                <w:w w:val="94"/>
              </w:rPr>
              <w:t>500,020</w:t>
            </w:r>
          </w:p>
        </w:tc>
      </w:tr>
      <w:tr>
        <w:trPr>
          <w:trHeight w:val="175"/>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(398,782)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(1,136,912)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514"/>
              <w:spacing w:after="0"/>
              <w:rPr>
                <w:sz w:val="20"/>
                <w:szCs w:val="20"/>
                <w:color w:val="auto"/>
              </w:rPr>
            </w:pPr>
            <w:r>
              <w:rPr>
                <w:rFonts w:ascii="Arial" w:cs="Arial" w:eastAsia="Arial" w:hAnsi="Arial"/>
                <w:sz w:val="14"/>
                <w:szCs w:val="14"/>
                <w:color w:val="auto"/>
                <w:w w:val="94"/>
              </w:rPr>
              <w:t>175,987</w:t>
            </w:r>
          </w:p>
        </w:tc>
      </w:tr>
      <w:tr>
        <w:trPr>
          <w:trHeight w:val="174"/>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(200,294)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300,298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left="494"/>
              <w:spacing w:after="0"/>
              <w:rPr>
                <w:sz w:val="20"/>
                <w:szCs w:val="20"/>
                <w:color w:val="auto"/>
              </w:rPr>
            </w:pPr>
            <w:r>
              <w:rPr>
                <w:rFonts w:ascii="Arial" w:cs="Arial" w:eastAsia="Arial" w:hAnsi="Arial"/>
                <w:sz w:val="14"/>
                <w:szCs w:val="14"/>
                <w:color w:val="auto"/>
                <w:w w:val="96"/>
              </w:rPr>
              <w:t>(250,000)</w:t>
            </w:r>
          </w:p>
        </w:tc>
      </w:tr>
      <w:tr>
        <w:trPr>
          <w:trHeight w:val="19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(132,264)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4"/>
                <w:szCs w:val="14"/>
                <w:color w:val="auto"/>
                <w:w w:val="94"/>
              </w:rPr>
              <w:t>426,007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decreased principally due to increased taxes and interest payments during 2021, partially offset by premiums received from a larger IIF balance and lower claims paid in the current year.</w:t>
      </w:r>
    </w:p>
    <w:p>
      <w:pPr>
        <w:spacing w:after="0" w:line="120" w:lineRule="exact"/>
        <w:rPr>
          <w:sz w:val="20"/>
          <w:szCs w:val="20"/>
          <w:color w:val="auto"/>
        </w:rPr>
      </w:pPr>
    </w:p>
    <w:p>
      <w:pPr>
        <w:jc w:val="both"/>
        <w:ind w:firstLine="246"/>
        <w:spacing w:after="0" w:line="271" w:lineRule="auto"/>
        <w:rPr>
          <w:sz w:val="20"/>
          <w:szCs w:val="20"/>
          <w:color w:val="auto"/>
        </w:rPr>
      </w:pPr>
      <w:r>
        <w:rPr>
          <w:rFonts w:ascii="Arial" w:cs="Arial" w:eastAsia="Arial" w:hAnsi="Arial"/>
          <w:sz w:val="13"/>
          <w:szCs w:val="13"/>
          <w:color w:val="auto"/>
        </w:rPr>
        <w:t>Investing activities are primarily related to purchases, sales and maturities of our investment portfolio. We had cash outflows from investing activities in 2021 as a result of continued fixed maturity security purchases driven by premium growth and lower losses paid. Outflows of cash in 2020 were primarily as a result of purchases of fixed maturity securities using the net proceeds from the December 2019 sale of our investment in Genworth Canada and our operating cash flows, partially offset by higher maturities and sales of our fixed maturity securities. We had cash inflows from investing activities in 2019 primarily from the sale of our investment in Genworth Canada, partially offset by net purchases of fixed maturity securities.</w:t>
      </w:r>
    </w:p>
    <w:p>
      <w:pPr>
        <w:spacing w:after="0" w:line="10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Financing activities in 2021 reflect a $200 million dividend paid in the fourth quarter while financing activities in 2020 reflect $738 million net proceeds from the issuance of our 2025 Senior Notes, discussed below, partially offset by a $437 million dividend paid to our Parent from the net proceeds of the offering. We paid dividends of $250 million in 2019. The amount and timing of future dividends will depend on the economic recovery from COVID-19, among other factors as described below.</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Capital Resources and Financing Activities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issued our 2025 Senior Notes in 2020 with interest payable semi-annually in arrears on February 15 and August 15 of each year. During 2021 we made our first two interest payments of $23.6 million, each. The 2025 Senior Notes mature on August 15, 2025. We may redeem the 2025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5" w:name="page116"/>
    <w:bookmarkEnd w:id="115"/>
    <w:p>
      <w:pPr>
        <w:jc w:val="both"/>
        <w:spacing w:after="0" w:line="246" w:lineRule="auto"/>
        <w:rPr>
          <w:sz w:val="20"/>
          <w:szCs w:val="20"/>
          <w:color w:val="auto"/>
        </w:rPr>
      </w:pPr>
      <w:r>
        <w:rPr>
          <w:rFonts w:ascii="Arial" w:cs="Arial" w:eastAsia="Arial" w:hAnsi="Arial"/>
          <w:sz w:val="14"/>
          <w:szCs w:val="14"/>
          <w:color w:val="auto"/>
        </w:rPr>
        <w:t>Notes, in whole or in part, at any time prior to February 15, 2025 at our option, by paying a make-whole premium, plus accrued and unpaid interest, if any. At any time on or after February 15, 2025, we may redeem the 2025 Senior Notes, in whole or in part, at our option, at 100% of the principal amount, plus accrued and unpaid interest. The 2025 Senior Notes contain customary events of default, which subject to certain notice and cure conditions, can result in the acceleration of the principal and accrued interest on the outstanding 2025 Senior Notes if we breach the terms of the indenture.</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Pursuant to the GSE Restrictions, we are required to retain $300 million of our holding company cash that can be drawn down exclusively for our debt service or to contribute to GMICO to meet its regulatory capital needs including PMIERs. The current balance of the 2025 Senior Notes proceeds required to be held by our holding company is approximately $252 million. See “—Trends and Conditions” for additional information regarding the GSE Restrictions.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Restrictions on the Payment of Dividends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such as paid-in and contributed surplus, are categorized as distributions. Notice of all dividends must be submitted to the Commissioner of the NCDOI (the “Commissioner”)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insurance subsidiaries have the capacity to pay dividends of $69.7 million from unassigned surplus as of December 31, 2021, with 30 day advance notice to the Commissioner of the intent to pay. In addition to dividends and distributions, alternative mechanisms, such as share repurchases, subject to any requisite regulatory approvals, may be utilized from time to time to upstream surplus.</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June 30, 2021, the GSEs issued a revised and restated version of the PMIERs Amendment that imposed temporary capital preservation provisions through December 31, 2021 that required an approved insurer to meet certain PMIERs minimum required asset buffers (150% in the third quarter of 2021 and 115% in the fourth quarter of 2021) or otherwise obtain prior written GSE approval before paying any dividends, pledging or transferring assets to an affiliate or entering into any new, or altering any existing, arrangements under tax sharing and intercompany expense-sharing agreements, even if such insurer had a surplus of available assets. In addition, prior to the satisfaction of the GSE Conditions, the GSE Restrictions require GMICO to maintain 115% of PMIERs Minimum Required Assets through 2021, 120% during 2022 and 125% thereafter.</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minimum policyholder surplus could be a limitation on the future dividends of our regulated operating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6" w:name="page117"/>
    <w:bookmarkEnd w:id="116"/>
    <w:p>
      <w:pPr>
        <w:jc w:val="both"/>
        <w:ind w:firstLine="246"/>
        <w:spacing w:after="0" w:line="246" w:lineRule="auto"/>
        <w:rPr>
          <w:sz w:val="20"/>
          <w:szCs w:val="20"/>
          <w:color w:val="auto"/>
        </w:rPr>
      </w:pPr>
      <w:r>
        <w:rPr>
          <w:rFonts w:ascii="Arial" w:cs="Arial" w:eastAsia="Arial" w:hAnsi="Arial"/>
          <w:sz w:val="14"/>
          <w:szCs w:val="14"/>
          <w:color w:val="auto"/>
        </w:rPr>
        <w:t>As mentioned above, 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Refer to “—Trends and Conditions” for recent updates related to these requirements.</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See “—Risk-to-Capital Ratio” for additional RTC trend analysis.</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our Parent.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Risk-to-Capital Ratio</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the calculation of our RTC ratio for our combined insurance subsidiaries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260" w:type="dxa"/>
            <w:vAlign w:val="bottom"/>
          </w:tcPr>
          <w:p>
            <w:pPr>
              <w:spacing w:after="0"/>
              <w:rPr>
                <w:sz w:val="10"/>
                <w:szCs w:val="10"/>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10"/>
                <w:szCs w:val="10"/>
                <w:color w:val="auto"/>
              </w:rPr>
            </w:pPr>
          </w:p>
        </w:tc>
        <w:tc>
          <w:tcPr>
            <w:tcW w:w="12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0"/>
                <w:szCs w:val="10"/>
                <w:color w:val="auto"/>
              </w:rPr>
            </w:pPr>
          </w:p>
        </w:tc>
        <w:tc>
          <w:tcPr>
            <w:tcW w:w="1320" w:type="dxa"/>
            <w:vAlign w:val="bottom"/>
          </w:tcPr>
          <w:p>
            <w:pPr>
              <w:jc w:val="right"/>
              <w:ind w:right="35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3"/>
        </w:trPr>
        <w:tc>
          <w:tcPr>
            <w:tcW w:w="6520" w:type="dxa"/>
            <w:vAlign w:val="bottom"/>
            <w:tcBorders>
              <w:bottom w:val="single" w:sz="8" w:color="CCEEFF"/>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5"/>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policyholders’ surplus</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74"/>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Contingency reserves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Combined statutory capital</w:t>
            </w: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4"/>
                <w:szCs w:val="14"/>
                <w:color w:val="auto"/>
              </w:rPr>
              <w:t xml:space="preserve">Adjusted RIF </w:t>
            </w:r>
            <w:r>
              <w:rPr>
                <w:rFonts w:ascii="Arial" w:cs="Arial" w:eastAsia="Arial" w:hAnsi="Arial"/>
                <w:sz w:val="17"/>
                <w:szCs w:val="17"/>
                <w:color w:val="auto"/>
                <w:vertAlign w:val="superscript"/>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20" w:type="dxa"/>
            <w:vAlign w:val="bottom"/>
            <w:vMerge w:val="continue"/>
          </w:tcPr>
          <w:p>
            <w:pPr>
              <w:spacing w:after="0"/>
              <w:rPr>
                <w:sz w:val="11"/>
                <w:szCs w:val="11"/>
                <w:color w:val="auto"/>
              </w:rPr>
            </w:pPr>
          </w:p>
        </w:tc>
        <w:tc>
          <w:tcPr>
            <w:tcW w:w="260" w:type="dxa"/>
            <w:vAlign w:val="bottom"/>
          </w:tcPr>
          <w:p>
            <w:pPr>
              <w:jc w:val="right"/>
              <w:ind w:right="92"/>
              <w:spacing w:after="0" w:line="135"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54,201</w:t>
            </w:r>
          </w:p>
        </w:tc>
        <w:tc>
          <w:tcPr>
            <w:tcW w:w="80" w:type="dxa"/>
            <w:vAlign w:val="bottom"/>
          </w:tcPr>
          <w:p>
            <w:pPr>
              <w:spacing w:after="0"/>
              <w:rPr>
                <w:sz w:val="11"/>
                <w:szCs w:val="11"/>
                <w:color w:val="auto"/>
              </w:rPr>
            </w:pPr>
          </w:p>
        </w:tc>
        <w:tc>
          <w:tcPr>
            <w:tcW w:w="240" w:type="dxa"/>
            <w:vAlign w:val="bottom"/>
          </w:tcPr>
          <w:p>
            <w:pPr>
              <w:jc w:val="right"/>
              <w:ind w:right="72"/>
              <w:spacing w:after="0" w:line="13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35" w:lineRule="exact"/>
              <w:rPr>
                <w:sz w:val="20"/>
                <w:szCs w:val="20"/>
                <w:color w:val="auto"/>
              </w:rPr>
            </w:pPr>
            <w:r>
              <w:rPr>
                <w:rFonts w:ascii="Arial" w:cs="Arial" w:eastAsia="Arial" w:hAnsi="Arial"/>
                <w:sz w:val="14"/>
                <w:szCs w:val="14"/>
                <w:color w:val="auto"/>
              </w:rPr>
              <w:t>49,104</w:t>
            </w:r>
          </w:p>
        </w:tc>
        <w:tc>
          <w:tcPr>
            <w:tcW w:w="80" w:type="dxa"/>
            <w:vAlign w:val="bottom"/>
          </w:tcPr>
          <w:p>
            <w:pPr>
              <w:spacing w:after="0"/>
              <w:rPr>
                <w:sz w:val="11"/>
                <w:szCs w:val="11"/>
                <w:color w:val="auto"/>
              </w:rPr>
            </w:pPr>
          </w:p>
        </w:tc>
        <w:tc>
          <w:tcPr>
            <w:tcW w:w="260" w:type="dxa"/>
            <w:vAlign w:val="bottom"/>
          </w:tcPr>
          <w:p>
            <w:pPr>
              <w:jc w:val="right"/>
              <w:ind w:right="92"/>
              <w:spacing w:after="0" w:line="135"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44,832</w:t>
            </w:r>
          </w:p>
        </w:tc>
        <w:tc>
          <w:tcPr>
            <w:tcW w:w="0" w:type="dxa"/>
            <w:vAlign w:val="bottom"/>
          </w:tcPr>
          <w:p>
            <w:pPr>
              <w:spacing w:after="0"/>
              <w:rPr>
                <w:sz w:val="1"/>
                <w:szCs w:val="1"/>
                <w:color w:val="auto"/>
              </w:rPr>
            </w:pPr>
          </w:p>
        </w:tc>
      </w:tr>
      <w:tr>
        <w:trPr>
          <w:trHeight w:val="174"/>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Combined risk-to-capital ratio</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53"/>
        </w:numPr>
        <w:rPr>
          <w:rFonts w:ascii="Arial" w:cs="Arial" w:eastAsia="Arial" w:hAnsi="Arial"/>
          <w:sz w:val="14"/>
          <w:szCs w:val="14"/>
          <w:color w:val="auto"/>
          <w:vertAlign w:val="superscript"/>
        </w:rPr>
      </w:pPr>
      <w:r>
        <w:rPr>
          <w:rFonts w:ascii="Arial" w:cs="Arial" w:eastAsia="Arial" w:hAnsi="Arial"/>
          <w:sz w:val="11"/>
          <w:szCs w:val="11"/>
          <w:color w:val="auto"/>
        </w:rPr>
        <w:t>Adjusted RIF for purposes of calculating combined statutory RTC differs from RIF presented elsewhere herein. In accordance with NCDOI requirements, adjusted RIF excludes delinquent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7" w:name="page118"/>
    <w:bookmarkEnd w:id="117"/>
    <w:p>
      <w:pPr>
        <w:ind w:left="240"/>
        <w:spacing w:after="0"/>
        <w:rPr>
          <w:sz w:val="20"/>
          <w:szCs w:val="20"/>
          <w:color w:val="auto"/>
        </w:rPr>
      </w:pPr>
      <w:r>
        <w:rPr>
          <w:rFonts w:ascii="Arial" w:cs="Arial" w:eastAsia="Arial" w:hAnsi="Arial"/>
          <w:sz w:val="14"/>
          <w:szCs w:val="14"/>
          <w:color w:val="auto"/>
        </w:rPr>
        <w:t>The following table presents the calculation of our RTC ratio for our principal insurance company, GMICO, as of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260" w:type="dxa"/>
            <w:vAlign w:val="bottom"/>
          </w:tcPr>
          <w:p>
            <w:pPr>
              <w:spacing w:after="0"/>
              <w:rPr>
                <w:sz w:val="10"/>
                <w:szCs w:val="10"/>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0"/>
                <w:szCs w:val="10"/>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0"/>
                <w:szCs w:val="10"/>
                <w:color w:val="auto"/>
              </w:rPr>
            </w:pPr>
          </w:p>
        </w:tc>
        <w:tc>
          <w:tcPr>
            <w:tcW w:w="1320" w:type="dxa"/>
            <w:vAlign w:val="bottom"/>
          </w:tcPr>
          <w:p>
            <w:pPr>
              <w:jc w:val="right"/>
              <w:ind w:right="35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4"/>
        </w:trPr>
        <w:tc>
          <w:tcPr>
            <w:tcW w:w="6380" w:type="dxa"/>
            <w:vAlign w:val="bottom"/>
            <w:tcBorders>
              <w:bottom w:val="single" w:sz="8" w:color="CCEEFF"/>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596"/>
              <w:spacing w:after="0" w:line="123" w:lineRule="exact"/>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596"/>
              <w:spacing w:after="0" w:line="123" w:lineRule="exact"/>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7F7E82"/>
            </w:tcBorders>
          </w:tcPr>
          <w:p>
            <w:pPr>
              <w:spacing w:after="0"/>
              <w:rPr>
                <w:sz w:val="10"/>
                <w:szCs w:val="10"/>
                <w:color w:val="auto"/>
              </w:rPr>
            </w:pPr>
          </w:p>
        </w:tc>
        <w:tc>
          <w:tcPr>
            <w:tcW w:w="1320" w:type="dxa"/>
            <w:vAlign w:val="bottom"/>
            <w:tcBorders>
              <w:bottom w:val="single" w:sz="8" w:color="7F7E82"/>
            </w:tcBorders>
          </w:tcPr>
          <w:p>
            <w:pPr>
              <w:jc w:val="right"/>
              <w:ind w:right="596"/>
              <w:spacing w:after="0" w:line="123" w:lineRule="exact"/>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policyholders’ surplus</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17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Contingency reserves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7F7E82"/>
            </w:tcBorders>
          </w:tcPr>
          <w:p>
            <w:pPr>
              <w:spacing w:after="0"/>
              <w:rPr>
                <w:sz w:val="15"/>
                <w:szCs w:val="15"/>
                <w:color w:val="auto"/>
              </w:rPr>
            </w:pPr>
          </w:p>
        </w:tc>
        <w:tc>
          <w:tcPr>
            <w:tcW w:w="1320" w:type="dxa"/>
            <w:vAlign w:val="bottom"/>
            <w:tcBorders>
              <w:bottom w:val="single" w:sz="8" w:color="7F7E82"/>
            </w:tcBorders>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3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Combined statutory capital</w:t>
            </w: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0" w:type="dxa"/>
            <w:vAlign w:val="bottom"/>
          </w:tcPr>
          <w:p>
            <w:pPr>
              <w:spacing w:after="0"/>
              <w:rPr>
                <w:sz w:val="1"/>
                <w:szCs w:val="1"/>
                <w:color w:val="auto"/>
              </w:rPr>
            </w:pPr>
          </w:p>
        </w:tc>
      </w:tr>
      <w:tr>
        <w:trPr>
          <w:trHeight w:val="135"/>
        </w:trPr>
        <w:tc>
          <w:tcPr>
            <w:tcW w:w="6380" w:type="dxa"/>
            <w:vAlign w:val="bottom"/>
            <w:tcBorders>
              <w:top w:val="single" w:sz="8" w:color="CCEEFF"/>
            </w:tcBorders>
          </w:tcPr>
          <w:p>
            <w:pPr>
              <w:ind w:left="20"/>
              <w:spacing w:after="0" w:line="136" w:lineRule="exact"/>
              <w:rPr>
                <w:sz w:val="20"/>
                <w:szCs w:val="20"/>
                <w:color w:val="auto"/>
              </w:rPr>
            </w:pPr>
            <w:r>
              <w:rPr>
                <w:rFonts w:ascii="Arial" w:cs="Arial" w:eastAsia="Arial" w:hAnsi="Arial"/>
                <w:sz w:val="12"/>
                <w:szCs w:val="12"/>
                <w:color w:val="auto"/>
              </w:rPr>
              <w:t xml:space="preserve">Adjusted RIF </w:t>
            </w:r>
            <w:r>
              <w:rPr>
                <w:rFonts w:ascii="Arial" w:cs="Arial" w:eastAsia="Arial" w:hAnsi="Arial"/>
                <w:sz w:val="15"/>
                <w:szCs w:val="15"/>
                <w:color w:val="auto"/>
                <w:vertAlign w:val="superscript"/>
              </w:rPr>
              <w:t>(1)</w:t>
            </w:r>
          </w:p>
        </w:tc>
        <w:tc>
          <w:tcPr>
            <w:tcW w:w="26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54,033</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49,021</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7F7E82"/>
            </w:tcBorders>
          </w:tcPr>
          <w:p>
            <w:pPr>
              <w:jc w:val="right"/>
              <w:ind w:right="92"/>
              <w:spacing w:after="0" w:line="13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7F7E82"/>
            </w:tcBorders>
          </w:tcPr>
          <w:p>
            <w:pPr>
              <w:jc w:val="right"/>
              <w:spacing w:after="0" w:line="135" w:lineRule="exact"/>
              <w:rPr>
                <w:sz w:val="20"/>
                <w:szCs w:val="20"/>
                <w:color w:val="auto"/>
              </w:rPr>
            </w:pPr>
            <w:r>
              <w:rPr>
                <w:rFonts w:ascii="Arial" w:cs="Arial" w:eastAsia="Arial" w:hAnsi="Arial"/>
                <w:sz w:val="14"/>
                <w:szCs w:val="14"/>
                <w:color w:val="auto"/>
              </w:rPr>
              <w:t>44,811</w:t>
            </w:r>
          </w:p>
        </w:tc>
        <w:tc>
          <w:tcPr>
            <w:tcW w:w="0" w:type="dxa"/>
            <w:vAlign w:val="bottom"/>
          </w:tcPr>
          <w:p>
            <w:pPr>
              <w:spacing w:after="0"/>
              <w:rPr>
                <w:sz w:val="1"/>
                <w:szCs w:val="1"/>
                <w:color w:val="auto"/>
              </w:rPr>
            </w:pP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GMICO risk-to-capital ratio</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240" w:hanging="238"/>
        <w:spacing w:after="0" w:line="204" w:lineRule="auto"/>
        <w:tabs>
          <w:tab w:leader="none" w:pos="240" w:val="left"/>
        </w:tabs>
        <w:numPr>
          <w:ilvl w:val="0"/>
          <w:numId w:val="54"/>
        </w:numPr>
        <w:rPr>
          <w:rFonts w:ascii="Arial" w:cs="Arial" w:eastAsia="Arial" w:hAnsi="Arial"/>
          <w:sz w:val="14"/>
          <w:szCs w:val="14"/>
          <w:color w:val="auto"/>
          <w:vertAlign w:val="superscript"/>
        </w:rPr>
      </w:pPr>
      <w:r>
        <w:rPr>
          <w:rFonts w:ascii="Arial" w:cs="Arial" w:eastAsia="Arial" w:hAnsi="Arial"/>
          <w:sz w:val="11"/>
          <w:szCs w:val="11"/>
          <w:color w:val="auto"/>
        </w:rPr>
        <w:t>Adjusted RIF for purposes of calculating GMICO statutory RTC differs from RIF presented elsewhere herein. In accordance with NCDOI requirements, adjusted RIF excludes delinquent policies.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Liquidity</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of December 31, 2021, we maintained liquidity in the form of cash and cash equivalents of $426 million compared to $453 million as of December 31, 2020, and we also held significant levels of investment-grade fixed maturity securities that can be monetized should our cash and cash equivalents be insufficient to meet our obligations. On August 21, 2020, we issued the 2025 Senior Notes. The GSE Restrictions require us to retain $300 million of the net proceeds in our holding company cash that can be drawn down exclusively for our debt service or to contribute to GMICO to meet its regulatory capital needs including PMIERs, until the GSE Conditions are satisfied. We distributed $437 million of the net proceeds to Genworth Holdings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 The current balance of the 2025 Senior Notes proceeds required to be held by our holding company is approximately $252 million.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However, our subsidiaries are subject to regulatory and other capital restrictions with respect to the payment of dividends. The net proceeds of the 2025 Senior Notes offering retained by EHI comprise substantially all of the cash and cash equivalents held directly by EHI and initially available to pay interest on the 2025 Senior Notes. To the extent the net proceeds retained from the offering is used to provide capital support to GMICO, the GSEs and the NCDOI may seek to prevent GMICO from returning that capital to EHI in the form of a dividend, distribution or an intercompany loan. We currently have no material financing commitments, such as lines of credit or guarantees, that are expected to affect our liquidity over the next five years, other than the 2025 Senior Notes.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Financial Strength Ratings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financial strength ratings of our operating companies are not designed to be, and do not serve as, measures of protection or valuation offered to our stockholders. We cannot predict with any certainty the impact to us from any future disruptions in the credit markets or downgrades by one or more of the rating agencies of the financial strength ratings of our insurance company subsidiaries and/or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18" w:name="page119"/>
    <w:bookmarkEnd w:id="118"/>
    <w:p>
      <w:pPr>
        <w:jc w:val="both"/>
        <w:ind w:right="20"/>
        <w:spacing w:after="0" w:line="248" w:lineRule="auto"/>
        <w:rPr>
          <w:sz w:val="20"/>
          <w:szCs w:val="20"/>
          <w:color w:val="auto"/>
        </w:rPr>
      </w:pPr>
      <w:r>
        <w:rPr>
          <w:rFonts w:ascii="Arial" w:cs="Arial" w:eastAsia="Arial" w:hAnsi="Arial"/>
          <w:sz w:val="14"/>
          <w:szCs w:val="14"/>
          <w:color w:val="auto"/>
        </w:rPr>
        <w:t>ratings of our holding company as a result of the impact of the COVID-19 pandemic or otherwise. We also cannot predict the impact on our ratings or future ratings of actions taken with respect to our Parent.</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GMICO financial strength ratings have been independently assigned by third-party rating organizations and represent our current ratings, which are subject to change.</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 of Agency</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Outlook</w:t>
            </w:r>
          </w:p>
        </w:tc>
        <w:tc>
          <w:tcPr>
            <w:tcW w:w="126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Date of Rating</w:t>
            </w:r>
          </w:p>
        </w:tc>
      </w:tr>
      <w:tr>
        <w:trPr>
          <w:trHeight w:val="164"/>
        </w:trPr>
        <w:tc>
          <w:tcPr>
            <w:tcW w:w="4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Moody’s Investor Service, Inc.</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Baa2</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Stable</w:t>
            </w:r>
          </w:p>
        </w:tc>
        <w:tc>
          <w:tcPr>
            <w:tcW w:w="12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Upgrade</w:t>
            </w: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September 24, 2021</w:t>
            </w:r>
          </w:p>
        </w:tc>
      </w:tr>
      <w:tr>
        <w:trPr>
          <w:trHeight w:val="165"/>
        </w:trPr>
        <w:tc>
          <w:tcPr>
            <w:tcW w:w="4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Fitch Ratings, Inc.</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BBB+</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Stable</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Upgrade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September 17, 2021</w:t>
            </w:r>
          </w:p>
        </w:tc>
      </w:tr>
      <w:tr>
        <w:trPr>
          <w:trHeight w:val="165"/>
        </w:trPr>
        <w:tc>
          <w:tcPr>
            <w:tcW w:w="4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Standard &amp; Poor’s Financial Services, LLC</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BBB</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Positive</w:t>
            </w:r>
          </w:p>
        </w:tc>
        <w:tc>
          <w:tcPr>
            <w:tcW w:w="12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Upgrade</w:t>
            </w: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September 24, 2021</w:t>
            </w:r>
          </w:p>
        </w:tc>
      </w:tr>
    </w:tbl>
    <w:p>
      <w:pPr>
        <w:spacing w:after="0" w:line="36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Contractual Obligations and Commitments</w:t>
      </w:r>
    </w:p>
    <w:p>
      <w:pPr>
        <w:spacing w:after="0" w:line="142" w:lineRule="exact"/>
        <w:rPr>
          <w:sz w:val="20"/>
          <w:szCs w:val="20"/>
          <w:color w:val="auto"/>
        </w:rPr>
      </w:pPr>
    </w:p>
    <w:p>
      <w:pPr>
        <w:jc w:val="both"/>
        <w:ind w:right="20" w:firstLine="246"/>
        <w:spacing w:after="0" w:line="269" w:lineRule="auto"/>
        <w:rPr>
          <w:sz w:val="20"/>
          <w:szCs w:val="20"/>
          <w:color w:val="auto"/>
        </w:rPr>
      </w:pPr>
      <w:r>
        <w:rPr>
          <w:rFonts w:ascii="Arial" w:cs="Arial" w:eastAsia="Arial" w:hAnsi="Arial"/>
          <w:sz w:val="13"/>
          <w:szCs w:val="13"/>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 Refer to Note 7 and Note 12 of our audited consolidated financial statements for discussion of borrowings and commitments in contingencies, respectively.</w:t>
      </w:r>
    </w:p>
    <w:p>
      <w:pPr>
        <w:spacing w:after="0" w:line="106" w:lineRule="exact"/>
        <w:rPr>
          <w:sz w:val="20"/>
          <w:szCs w:val="20"/>
          <w:color w:val="auto"/>
        </w:rPr>
      </w:pPr>
    </w:p>
    <w:p>
      <w:pPr>
        <w:jc w:val="both"/>
        <w:ind w:right="20" w:firstLine="246"/>
        <w:spacing w:after="0" w:line="246" w:lineRule="auto"/>
        <w:rPr>
          <w:sz w:val="20"/>
          <w:szCs w:val="20"/>
          <w:color w:val="auto"/>
        </w:rPr>
      </w:pPr>
      <w:r>
        <w:rPr>
          <w:rFonts w:ascii="Arial" w:cs="Arial" w:eastAsia="Arial" w:hAnsi="Arial"/>
          <w:sz w:val="14"/>
          <w:szCs w:val="14"/>
          <w:color w:val="auto"/>
        </w:rPr>
        <w:t>We experienced an increase in loss reserves during the year ended December 31, 2021, driven mostly by new delinquencies from borrower forbearance programs due to COVID-19. We expect a large portion of these delinquencies to cure before becoming an active claim; however, reserves recorded related to borrower forbearance have a high degree of estimation. Therefore, it is possible we could have higher contractual obligations related to these loss reserves if they do not cure as we expect. Refer to Note 5 in our audited consolidated financial statements for discussion of our loss reserves.</w:t>
      </w:r>
    </w:p>
    <w:p>
      <w:pPr>
        <w:spacing w:after="0" w:line="120" w:lineRule="exact"/>
        <w:rPr>
          <w:sz w:val="20"/>
          <w:szCs w:val="20"/>
          <w:color w:val="auto"/>
        </w:rPr>
      </w:pPr>
    </w:p>
    <w:p>
      <w:pPr>
        <w:jc w:val="both"/>
        <w:ind w:right="20" w:firstLine="246"/>
        <w:spacing w:after="0" w:line="248" w:lineRule="auto"/>
        <w:rPr>
          <w:sz w:val="20"/>
          <w:szCs w:val="20"/>
          <w:color w:val="auto"/>
        </w:rPr>
      </w:pPr>
      <w:r>
        <w:rPr>
          <w:rFonts w:ascii="Arial" w:cs="Arial" w:eastAsia="Arial" w:hAnsi="Arial"/>
          <w:sz w:val="14"/>
          <w:szCs w:val="14"/>
          <w:color w:val="auto"/>
        </w:rPr>
        <w:t>Refer to Note 2 in our audited consolidated financial statements for the years ended December 31, 2021, 2020 and 2019, for a discussion of recently adopted and not yet adopted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42" w:lineRule="exact"/>
        <w:rPr>
          <w:sz w:val="20"/>
          <w:szCs w:val="20"/>
          <w:color w:val="auto"/>
        </w:rPr>
      </w:pPr>
    </w:p>
    <w:p>
      <w:pPr>
        <w:jc w:val="both"/>
        <w:ind w:right="20" w:firstLine="246"/>
        <w:spacing w:after="0" w:line="274" w:lineRule="auto"/>
        <w:rPr>
          <w:sz w:val="20"/>
          <w:szCs w:val="20"/>
          <w:color w:val="auto"/>
        </w:rPr>
      </w:pPr>
      <w:r>
        <w:rPr>
          <w:rFonts w:ascii="Arial" w:cs="Arial" w:eastAsia="Arial" w:hAnsi="Arial"/>
          <w:sz w:val="13"/>
          <w:szCs w:val="13"/>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03" w:lineRule="exact"/>
        <w:rPr>
          <w:sz w:val="20"/>
          <w:szCs w:val="20"/>
          <w:color w:val="auto"/>
        </w:rPr>
      </w:pPr>
    </w:p>
    <w:p>
      <w:pPr>
        <w:jc w:val="both"/>
        <w:ind w:right="20" w:firstLine="246"/>
        <w:spacing w:after="0" w:line="248" w:lineRule="auto"/>
        <w:rPr>
          <w:sz w:val="20"/>
          <w:szCs w:val="20"/>
          <w:color w:val="auto"/>
        </w:rPr>
      </w:pPr>
      <w:r>
        <w:rPr>
          <w:rFonts w:ascii="Arial" w:cs="Arial" w:eastAsia="Arial" w:hAnsi="Arial"/>
          <w:sz w:val="14"/>
          <w:szCs w:val="14"/>
          <w:color w:val="auto"/>
        </w:rPr>
        <w:t>We manage market risk via our defined investment policy guidelines implemented by our Parent’s investment team with oversight from our board of directors and our senior management. Important drivers of our market risk exposure monitored and managed by us include but are not limited to:</w:t>
      </w:r>
    </w:p>
    <w:p>
      <w:pPr>
        <w:spacing w:after="0" w:line="105" w:lineRule="exact"/>
        <w:rPr>
          <w:sz w:val="20"/>
          <w:szCs w:val="20"/>
          <w:color w:val="auto"/>
        </w:rPr>
      </w:pPr>
    </w:p>
    <w:p>
      <w:pPr>
        <w:jc w:val="both"/>
        <w:ind w:right="20" w:firstLine="248"/>
        <w:spacing w:after="0" w:line="253" w:lineRule="auto"/>
        <w:tabs>
          <w:tab w:leader="none" w:pos="489"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Changes to the level of interest rates</w:t>
      </w:r>
      <w:r>
        <w:rPr>
          <w:rFonts w:ascii="Arial" w:cs="Arial" w:eastAsia="Arial" w:hAnsi="Arial"/>
          <w:sz w:val="14"/>
          <w:szCs w:val="14"/>
          <w:color w:val="auto"/>
        </w:rPr>
        <w:t>. 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300"/>
          </w:cols>
          <w:pgMar w:left="300" w:top="1247" w:right="299" w:bottom="1440" w:gutter="0" w:footer="0" w:header="0"/>
        </w:sectPr>
      </w:pPr>
    </w:p>
    <w:bookmarkStart w:id="119" w:name="page120"/>
    <w:bookmarkEnd w:id="119"/>
    <w:p>
      <w:pPr>
        <w:ind w:firstLine="248"/>
        <w:spacing w:after="0" w:line="269" w:lineRule="auto"/>
        <w:tabs>
          <w:tab w:leader="none" w:pos="489"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Changes to the term structure of interest rates</w:t>
      </w:r>
      <w:r>
        <w:rPr>
          <w:rFonts w:ascii="Arial" w:cs="Arial" w:eastAsia="Arial" w:hAnsi="Arial"/>
          <w:sz w:val="14"/>
          <w:szCs w:val="14"/>
          <w:color w:val="auto"/>
        </w:rPr>
        <w:t>. Rising or falling rates typically change by different amounts along the yield curve. These changes may have unforeseen impacts on</w:t>
      </w:r>
      <w:r>
        <w:rPr>
          <w:rFonts w:ascii="Arial" w:cs="Arial" w:eastAsia="Arial" w:hAnsi="Arial"/>
          <w:sz w:val="14"/>
          <w:szCs w:val="14"/>
          <w:i w:val="1"/>
          <w:iCs w:val="1"/>
          <w:color w:val="auto"/>
        </w:rPr>
        <w:t xml:space="preserve"> </w:t>
      </w:r>
      <w:r>
        <w:rPr>
          <w:rFonts w:ascii="Arial" w:cs="Arial" w:eastAsia="Arial" w:hAnsi="Arial"/>
          <w:sz w:val="14"/>
          <w:szCs w:val="14"/>
          <w:color w:val="auto"/>
        </w:rPr>
        <w:t>the value of certain assets.</w:t>
      </w:r>
    </w:p>
    <w:p>
      <w:pPr>
        <w:spacing w:after="0" w:line="90" w:lineRule="exact"/>
        <w:rPr>
          <w:rFonts w:ascii="Arial" w:cs="Arial" w:eastAsia="Arial" w:hAnsi="Arial"/>
          <w:sz w:val="14"/>
          <w:szCs w:val="14"/>
          <w:color w:val="auto"/>
        </w:rPr>
      </w:pPr>
    </w:p>
    <w:p>
      <w:pPr>
        <w:ind w:firstLine="248"/>
        <w:spacing w:after="0" w:line="269" w:lineRule="auto"/>
        <w:tabs>
          <w:tab w:leader="none" w:pos="489"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Market volatility/changes in the real or perceived credit quality of investments</w:t>
      </w:r>
      <w:r>
        <w:rPr>
          <w:rFonts w:ascii="Arial" w:cs="Arial" w:eastAsia="Arial" w:hAnsi="Arial"/>
          <w:sz w:val="14"/>
          <w:szCs w:val="14"/>
          <w:color w:val="auto"/>
        </w:rPr>
        <w:t>. Deterioration in the quality of investments, identified through changes to our own or third-party (e.g.,</w:t>
      </w:r>
      <w:r>
        <w:rPr>
          <w:rFonts w:ascii="Arial" w:cs="Arial" w:eastAsia="Arial" w:hAnsi="Arial"/>
          <w:sz w:val="14"/>
          <w:szCs w:val="14"/>
          <w:i w:val="1"/>
          <w:iCs w:val="1"/>
          <w:color w:val="auto"/>
        </w:rPr>
        <w:t xml:space="preserve"> </w:t>
      </w:r>
      <w:r>
        <w:rPr>
          <w:rFonts w:ascii="Arial" w:cs="Arial" w:eastAsia="Arial" w:hAnsi="Arial"/>
          <w:sz w:val="14"/>
          <w:szCs w:val="14"/>
          <w:color w:val="auto"/>
        </w:rPr>
        <w:t>rating agency) assessments, will reduce the value and potentially the liquidity of investments.</w:t>
      </w:r>
    </w:p>
    <w:p>
      <w:pPr>
        <w:spacing w:after="0" w:line="90" w:lineRule="exact"/>
        <w:rPr>
          <w:rFonts w:ascii="Arial" w:cs="Arial" w:eastAsia="Arial" w:hAnsi="Arial"/>
          <w:sz w:val="14"/>
          <w:szCs w:val="14"/>
          <w:color w:val="auto"/>
        </w:rPr>
      </w:pPr>
    </w:p>
    <w:p>
      <w:pPr>
        <w:ind w:firstLine="248"/>
        <w:spacing w:after="0" w:line="269" w:lineRule="auto"/>
        <w:tabs>
          <w:tab w:leader="none" w:pos="489"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Concentration Risk</w:t>
      </w:r>
      <w:r>
        <w:rPr>
          <w:rFonts w:ascii="Arial" w:cs="Arial" w:eastAsia="Arial" w:hAnsi="Arial"/>
          <w:sz w:val="14"/>
          <w:szCs w:val="14"/>
          <w:color w:val="auto"/>
        </w:rPr>
        <w:t>. If the investment portfolio is highly concentrated in one asset, or in multiple assets whose values are highly correlated, the value of the total portfolio may be</w:t>
      </w:r>
      <w:r>
        <w:rPr>
          <w:rFonts w:ascii="Arial" w:cs="Arial" w:eastAsia="Arial" w:hAnsi="Arial"/>
          <w:sz w:val="14"/>
          <w:szCs w:val="14"/>
          <w:i w:val="1"/>
          <w:iCs w:val="1"/>
          <w:color w:val="auto"/>
        </w:rPr>
        <w:t xml:space="preserve"> </w:t>
      </w:r>
      <w:r>
        <w:rPr>
          <w:rFonts w:ascii="Arial" w:cs="Arial" w:eastAsia="Arial" w:hAnsi="Arial"/>
          <w:sz w:val="14"/>
          <w:szCs w:val="14"/>
          <w:color w:val="auto"/>
        </w:rPr>
        <w:t>greatly affected by the change in value of just one asset or a group of highly correlated assets.</w:t>
      </w:r>
    </w:p>
    <w:p>
      <w:pPr>
        <w:spacing w:after="0" w:line="90" w:lineRule="exact"/>
        <w:rPr>
          <w:rFonts w:ascii="Arial" w:cs="Arial" w:eastAsia="Arial" w:hAnsi="Arial"/>
          <w:sz w:val="14"/>
          <w:szCs w:val="14"/>
          <w:color w:val="auto"/>
        </w:rPr>
      </w:pPr>
    </w:p>
    <w:p>
      <w:pPr>
        <w:ind w:firstLine="248"/>
        <w:spacing w:after="0" w:line="269" w:lineRule="auto"/>
        <w:tabs>
          <w:tab w:leader="none" w:pos="489"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Prepayment Risk</w:t>
      </w:r>
      <w:r>
        <w:rPr>
          <w:rFonts w:ascii="Arial" w:cs="Arial" w:eastAsia="Arial" w:hAnsi="Arial"/>
          <w:sz w:val="14"/>
          <w:szCs w:val="14"/>
          <w:color w:val="auto"/>
        </w:rPr>
        <w:t>. Bonds may have call provisions that permit debtors to repay prior to maturity when it is to their advantage. This typically occurs when rates fall below the</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rate of the debt.</w:t>
      </w:r>
    </w:p>
    <w:p>
      <w:pPr>
        <w:spacing w:after="0" w:line="104"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19"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At December 31, 2021, the effective duration of our investments available-for-sale was 3.9 years, which means that an instantaneous parallel shift (movement up or down) in the yield curve of 100 basis points would result in a change of 3.9% in fair value of our investments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3"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0"/>
        </w:trPr>
        <w:tc>
          <w:tcPr>
            <w:tcW w:w="10340" w:type="dxa"/>
            <w:vAlign w:val="bottom"/>
            <w:gridSpan w:val="10"/>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80" w:type="dxa"/>
            <w:vAlign w:val="bottom"/>
            <w:gridSpan w:val="7"/>
          </w:tcPr>
          <w:p>
            <w:pPr>
              <w:ind w:left="340"/>
              <w:spacing w:after="0"/>
              <w:rPr>
                <w:sz w:val="20"/>
                <w:szCs w:val="20"/>
                <w:color w:val="auto"/>
              </w:rPr>
            </w:pPr>
            <w:r>
              <w:rPr>
                <w:rFonts w:ascii="Arial" w:cs="Arial" w:eastAsia="Arial" w:hAnsi="Arial"/>
                <w:sz w:val="14"/>
                <w:szCs w:val="14"/>
                <w:b w:val="1"/>
                <w:bCs w:val="1"/>
                <w:color w:val="auto"/>
              </w:rPr>
              <w:t>INDEX OF CONSOLIDATED FINANCIAL STATEMENTS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28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Audited Financial Statements</w:t>
            </w: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0280" w:type="dxa"/>
            <w:vAlign w:val="bottom"/>
            <w:gridSpan w:val="9"/>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0280" w:type="dxa"/>
            <w:vAlign w:val="bottom"/>
            <w:gridSpan w:val="9"/>
          </w:tcPr>
          <w:p>
            <w:pPr>
              <w:spacing w:after="0" w:line="145" w:lineRule="exact"/>
              <w:rPr>
                <w:rFonts w:ascii="Arial" w:cs="Arial" w:eastAsia="Arial" w:hAnsi="Arial"/>
                <w:sz w:val="14"/>
                <w:szCs w:val="14"/>
                <w:color w:val="0000FF"/>
              </w:rPr>
            </w:pPr>
            <w:hyperlink w:anchor="page121">
              <w:r>
                <w:rPr>
                  <w:rFonts w:ascii="Arial" w:cs="Arial" w:eastAsia="Arial" w:hAnsi="Arial"/>
                  <w:sz w:val="14"/>
                  <w:szCs w:val="14"/>
                  <w:color w:val="0000FF"/>
                </w:rPr>
                <w:t xml:space="preserve">Report of Independent Registered Public Accounting Firm </w:t>
              </w:r>
            </w:hyperlink>
            <w:r>
              <w:rPr>
                <w:rFonts w:ascii="Arial" w:cs="Arial" w:eastAsia="Arial" w:hAnsi="Arial"/>
                <w:sz w:val="14"/>
                <w:szCs w:val="14"/>
                <w:color w:val="000000"/>
              </w:rPr>
              <w:t>(KPMG</w:t>
            </w:r>
            <w:r>
              <w:rPr>
                <w:rFonts w:ascii="Arial" w:cs="Arial" w:eastAsia="Arial" w:hAnsi="Arial"/>
                <w:sz w:val="14"/>
                <w:szCs w:val="14"/>
                <w:color w:val="0000FF"/>
              </w:rPr>
              <w:t xml:space="preserve"> </w:t>
            </w:r>
            <w:r>
              <w:rPr>
                <w:rFonts w:ascii="Arial" w:cs="Arial" w:eastAsia="Arial" w:hAnsi="Arial"/>
                <w:sz w:val="14"/>
                <w:szCs w:val="14"/>
                <w:color w:val="000000"/>
              </w:rPr>
              <w:t>LLP, Richmond, Virginia, Auditor Firm ID: 185)</w:t>
            </w:r>
          </w:p>
        </w:tc>
        <w:tc>
          <w:tcPr>
            <w:tcW w:w="580" w:type="dxa"/>
            <w:vAlign w:val="bottom"/>
            <w:gridSpan w:val="2"/>
          </w:tcPr>
          <w:p>
            <w:pPr>
              <w:jc w:val="center"/>
              <w:ind w:left="292"/>
              <w:spacing w:after="0" w:line="145" w:lineRule="exact"/>
              <w:rPr>
                <w:rFonts w:ascii="Arial" w:cs="Arial" w:eastAsia="Arial" w:hAnsi="Arial"/>
                <w:sz w:val="14"/>
                <w:szCs w:val="14"/>
                <w:color w:val="0000FF"/>
                <w:w w:val="93"/>
              </w:rPr>
            </w:pPr>
            <w:hyperlink w:anchor="page121">
              <w:r>
                <w:rPr>
                  <w:rFonts w:ascii="Arial" w:cs="Arial" w:eastAsia="Arial" w:hAnsi="Arial"/>
                  <w:sz w:val="14"/>
                  <w:szCs w:val="14"/>
                  <w:color w:val="0000FF"/>
                  <w:w w:val="93"/>
                </w:rPr>
                <w:t>122</w:t>
              </w:r>
            </w:hyperlink>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940" w:type="dxa"/>
            <w:vAlign w:val="bottom"/>
            <w:tcBorders>
              <w:bottom w:val="single" w:sz="8" w:color="0000FF"/>
            </w:tcBorders>
            <w:gridSpan w:val="3"/>
          </w:tcPr>
          <w:p>
            <w:pPr>
              <w:spacing w:after="0" w:line="155" w:lineRule="exact"/>
              <w:rPr>
                <w:rFonts w:ascii="Arial" w:cs="Arial" w:eastAsia="Arial" w:hAnsi="Arial"/>
                <w:sz w:val="14"/>
                <w:szCs w:val="14"/>
                <w:color w:val="0000FF"/>
                <w:w w:val="96"/>
              </w:rPr>
            </w:pPr>
            <w:hyperlink w:anchor="page123">
              <w:r>
                <w:rPr>
                  <w:rFonts w:ascii="Arial" w:cs="Arial" w:eastAsia="Arial" w:hAnsi="Arial"/>
                  <w:sz w:val="14"/>
                  <w:szCs w:val="14"/>
                  <w:color w:val="0000FF"/>
                  <w:w w:val="96"/>
                </w:rPr>
                <w:t xml:space="preserve">Consolidated Balance Sheets as of December 31, 2021 and </w:t>
              </w:r>
            </w:hyperlink>
            <w:r>
              <w:rPr>
                <w:rFonts w:ascii="Arial" w:cs="Arial" w:eastAsia="Arial" w:hAnsi="Arial"/>
                <w:sz w:val="14"/>
                <w:szCs w:val="14"/>
                <w:color w:val="0000FF"/>
                <w:w w:val="96"/>
              </w:rPr>
              <w:t>2020</w:t>
            </w:r>
          </w:p>
        </w:tc>
        <w:tc>
          <w:tcPr>
            <w:tcW w:w="6340" w:type="dxa"/>
            <w:vAlign w:val="bottom"/>
            <w:gridSpan w:val="6"/>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bottom w:val="single" w:sz="8" w:color="0000FF"/>
            </w:tcBorders>
          </w:tcPr>
          <w:p>
            <w:pPr>
              <w:jc w:val="center"/>
              <w:spacing w:after="0" w:line="155" w:lineRule="exact"/>
              <w:rPr>
                <w:rFonts w:ascii="Arial" w:cs="Arial" w:eastAsia="Arial" w:hAnsi="Arial"/>
                <w:sz w:val="14"/>
                <w:szCs w:val="14"/>
                <w:color w:val="0000FF"/>
                <w:w w:val="93"/>
              </w:rPr>
            </w:pPr>
            <w:hyperlink w:anchor="page123">
              <w:r>
                <w:rPr>
                  <w:rFonts w:ascii="Arial" w:cs="Arial" w:eastAsia="Arial" w:hAnsi="Arial"/>
                  <w:sz w:val="14"/>
                  <w:szCs w:val="14"/>
                  <w:color w:val="0000FF"/>
                  <w:w w:val="93"/>
                </w:rPr>
                <w:t>124</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0280" w:type="dxa"/>
            <w:vAlign w:val="bottom"/>
            <w:gridSpan w:val="9"/>
          </w:tcPr>
          <w:p>
            <w:pPr>
              <w:spacing w:after="0" w:line="155" w:lineRule="exact"/>
              <w:rPr>
                <w:rFonts w:ascii="Arial" w:cs="Arial" w:eastAsia="Arial" w:hAnsi="Arial"/>
                <w:sz w:val="14"/>
                <w:szCs w:val="14"/>
                <w:color w:val="0000FF"/>
              </w:rPr>
            </w:pPr>
            <w:hyperlink w:anchor="page124">
              <w:r>
                <w:rPr>
                  <w:rFonts w:ascii="Arial" w:cs="Arial" w:eastAsia="Arial" w:hAnsi="Arial"/>
                  <w:sz w:val="14"/>
                  <w:szCs w:val="14"/>
                  <w:color w:val="0000FF"/>
                </w:rPr>
                <w:t xml:space="preserve">Consolidated Statements of Income for the years ended December 31, </w:t>
              </w:r>
            </w:hyperlink>
            <w:r>
              <w:rPr>
                <w:rFonts w:ascii="Arial" w:cs="Arial" w:eastAsia="Arial" w:hAnsi="Arial"/>
                <w:sz w:val="14"/>
                <w:szCs w:val="14"/>
                <w:color w:val="0000FF"/>
              </w:rPr>
              <w:t xml:space="preserve">2021, </w:t>
            </w:r>
            <w:hyperlink w:anchor="page124">
              <w:r>
                <w:rPr>
                  <w:rFonts w:ascii="Arial" w:cs="Arial" w:eastAsia="Arial" w:hAnsi="Arial"/>
                  <w:sz w:val="14"/>
                  <w:szCs w:val="14"/>
                  <w:color w:val="0000FF"/>
                </w:rPr>
                <w:t>2020 and 2019</w:t>
              </w:r>
            </w:hyperlink>
          </w:p>
        </w:tc>
        <w:tc>
          <w:tcPr>
            <w:tcW w:w="580" w:type="dxa"/>
            <w:vAlign w:val="bottom"/>
            <w:gridSpan w:val="2"/>
          </w:tcPr>
          <w:p>
            <w:pPr>
              <w:jc w:val="center"/>
              <w:ind w:left="292"/>
              <w:spacing w:after="0" w:line="155" w:lineRule="exact"/>
              <w:rPr>
                <w:rFonts w:ascii="Arial" w:cs="Arial" w:eastAsia="Arial" w:hAnsi="Arial"/>
                <w:sz w:val="14"/>
                <w:szCs w:val="14"/>
                <w:color w:val="0000FF"/>
                <w:w w:val="93"/>
              </w:rPr>
            </w:pPr>
            <w:hyperlink w:anchor="page124">
              <w:r>
                <w:rPr>
                  <w:rFonts w:ascii="Arial" w:cs="Arial" w:eastAsia="Arial" w:hAnsi="Arial"/>
                  <w:sz w:val="14"/>
                  <w:szCs w:val="14"/>
                  <w:color w:val="0000FF"/>
                  <w:w w:val="93"/>
                </w:rPr>
                <w:t>125</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10280" w:type="dxa"/>
            <w:vAlign w:val="bottom"/>
            <w:gridSpan w:val="9"/>
          </w:tcPr>
          <w:p>
            <w:pPr>
              <w:spacing w:after="0" w:line="155" w:lineRule="exact"/>
              <w:rPr>
                <w:rFonts w:ascii="Arial" w:cs="Arial" w:eastAsia="Arial" w:hAnsi="Arial"/>
                <w:sz w:val="14"/>
                <w:szCs w:val="14"/>
                <w:color w:val="0000FF"/>
              </w:rPr>
            </w:pPr>
            <w:hyperlink w:anchor="page125">
              <w:r>
                <w:rPr>
                  <w:rFonts w:ascii="Arial" w:cs="Arial" w:eastAsia="Arial" w:hAnsi="Arial"/>
                  <w:sz w:val="14"/>
                  <w:szCs w:val="14"/>
                  <w:color w:val="0000FF"/>
                </w:rPr>
                <w:t>Consolidated Statements of Comprehensive Income for the years ended December 31, 2021, 2020 and 2019</w:t>
              </w:r>
            </w:hyperlink>
          </w:p>
        </w:tc>
        <w:tc>
          <w:tcPr>
            <w:tcW w:w="580" w:type="dxa"/>
            <w:vAlign w:val="bottom"/>
            <w:gridSpan w:val="2"/>
          </w:tcPr>
          <w:p>
            <w:pPr>
              <w:jc w:val="center"/>
              <w:ind w:left="292"/>
              <w:spacing w:after="0" w:line="155" w:lineRule="exact"/>
              <w:rPr>
                <w:rFonts w:ascii="Arial" w:cs="Arial" w:eastAsia="Arial" w:hAnsi="Arial"/>
                <w:sz w:val="14"/>
                <w:szCs w:val="14"/>
                <w:color w:val="0000FF"/>
                <w:w w:val="93"/>
              </w:rPr>
            </w:pPr>
            <w:hyperlink w:anchor="page125">
              <w:r>
                <w:rPr>
                  <w:rFonts w:ascii="Arial" w:cs="Arial" w:eastAsia="Arial" w:hAnsi="Arial"/>
                  <w:sz w:val="14"/>
                  <w:szCs w:val="14"/>
                  <w:color w:val="0000FF"/>
                  <w:w w:val="93"/>
                </w:rPr>
                <w:t>126</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560" w:type="dxa"/>
            <w:vAlign w:val="bottom"/>
            <w:tcBorders>
              <w:top w:val="single" w:sz="8" w:color="0000FF"/>
            </w:tcBorders>
            <w:gridSpan w:val="8"/>
          </w:tcPr>
          <w:p>
            <w:pPr>
              <w:spacing w:after="0" w:line="155" w:lineRule="exact"/>
              <w:rPr>
                <w:rFonts w:ascii="Arial" w:cs="Arial" w:eastAsia="Arial" w:hAnsi="Arial"/>
                <w:sz w:val="14"/>
                <w:szCs w:val="14"/>
                <w:color w:val="0000FF"/>
              </w:rPr>
            </w:pPr>
            <w:hyperlink w:anchor="page126">
              <w:r>
                <w:rPr>
                  <w:rFonts w:ascii="Arial" w:cs="Arial" w:eastAsia="Arial" w:hAnsi="Arial"/>
                  <w:sz w:val="14"/>
                  <w:szCs w:val="14"/>
                  <w:color w:val="0000FF"/>
                </w:rPr>
                <w:t>Consolidated Statements of Changes in Equity for the years ended December 31, 2021, 2020 and 2019</w:t>
              </w:r>
            </w:hyperlink>
          </w:p>
        </w:tc>
        <w:tc>
          <w:tcPr>
            <w:tcW w:w="3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0000FF"/>
            </w:tcBorders>
          </w:tcPr>
          <w:p>
            <w:pPr>
              <w:jc w:val="center"/>
              <w:spacing w:after="0" w:line="155" w:lineRule="exact"/>
              <w:rPr>
                <w:rFonts w:ascii="Arial" w:cs="Arial" w:eastAsia="Arial" w:hAnsi="Arial"/>
                <w:sz w:val="14"/>
                <w:szCs w:val="14"/>
                <w:color w:val="0000FF"/>
                <w:w w:val="93"/>
              </w:rPr>
            </w:pPr>
            <w:hyperlink w:anchor="page126">
              <w:r>
                <w:rPr>
                  <w:rFonts w:ascii="Arial" w:cs="Arial" w:eastAsia="Arial" w:hAnsi="Arial"/>
                  <w:sz w:val="14"/>
                  <w:szCs w:val="14"/>
                  <w:color w:val="0000FF"/>
                  <w:w w:val="93"/>
                </w:rPr>
                <w:t>127</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6"/>
          </w:tcPr>
          <w:p>
            <w:pPr>
              <w:spacing w:after="0" w:line="155" w:lineRule="exact"/>
              <w:rPr>
                <w:rFonts w:ascii="Arial" w:cs="Arial" w:eastAsia="Arial" w:hAnsi="Arial"/>
                <w:sz w:val="14"/>
                <w:szCs w:val="14"/>
                <w:color w:val="0000FF"/>
                <w:w w:val="96"/>
              </w:rPr>
            </w:pPr>
            <w:hyperlink w:anchor="page127">
              <w:r>
                <w:rPr>
                  <w:rFonts w:ascii="Arial" w:cs="Arial" w:eastAsia="Arial" w:hAnsi="Arial"/>
                  <w:sz w:val="14"/>
                  <w:szCs w:val="14"/>
                  <w:color w:val="0000FF"/>
                  <w:w w:val="96"/>
                </w:rPr>
                <w:t>Consolidated Statements of Cash Flows for the years ended December 31, 2021, 2020 and 2019</w:t>
              </w:r>
            </w:hyperlink>
          </w:p>
        </w:tc>
        <w:tc>
          <w:tcPr>
            <w:tcW w:w="380" w:type="dxa"/>
            <w:vAlign w:val="bottom"/>
            <w:tcBorders>
              <w:top w:val="single" w:sz="8" w:color="0000FF"/>
            </w:tcBorders>
          </w:tcPr>
          <w:p>
            <w:pPr>
              <w:spacing w:after="0"/>
              <w:rPr>
                <w:sz w:val="13"/>
                <w:szCs w:val="13"/>
                <w:color w:val="auto"/>
              </w:rPr>
            </w:pPr>
          </w:p>
        </w:tc>
        <w:tc>
          <w:tcPr>
            <w:tcW w:w="40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0000FF"/>
              <w:bottom w:val="single" w:sz="8" w:color="0000FF"/>
            </w:tcBorders>
          </w:tcPr>
          <w:p>
            <w:pPr>
              <w:jc w:val="center"/>
              <w:spacing w:after="0" w:line="155" w:lineRule="exact"/>
              <w:rPr>
                <w:rFonts w:ascii="Arial" w:cs="Arial" w:eastAsia="Arial" w:hAnsi="Arial"/>
                <w:sz w:val="14"/>
                <w:szCs w:val="14"/>
                <w:color w:val="0000FF"/>
                <w:w w:val="93"/>
              </w:rPr>
            </w:pPr>
            <w:hyperlink w:anchor="page127">
              <w:r>
                <w:rPr>
                  <w:rFonts w:ascii="Arial" w:cs="Arial" w:eastAsia="Arial" w:hAnsi="Arial"/>
                  <w:sz w:val="14"/>
                  <w:szCs w:val="14"/>
                  <w:color w:val="0000FF"/>
                  <w:w w:val="93"/>
                </w:rPr>
                <w:t>128</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0280" w:type="dxa"/>
            <w:vAlign w:val="bottom"/>
            <w:gridSpan w:val="9"/>
          </w:tcPr>
          <w:p>
            <w:pPr>
              <w:spacing w:after="0" w:line="155" w:lineRule="exact"/>
              <w:rPr>
                <w:rFonts w:ascii="Arial" w:cs="Arial" w:eastAsia="Arial" w:hAnsi="Arial"/>
                <w:sz w:val="14"/>
                <w:szCs w:val="14"/>
                <w:color w:val="0000FF"/>
              </w:rPr>
            </w:pPr>
            <w:hyperlink w:anchor="page128">
              <w:r>
                <w:rPr>
                  <w:rFonts w:ascii="Arial" w:cs="Arial" w:eastAsia="Arial" w:hAnsi="Arial"/>
                  <w:sz w:val="14"/>
                  <w:szCs w:val="14"/>
                  <w:color w:val="0000FF"/>
                </w:rPr>
                <w:t>Notes to the Consolidated Financial Statements</w:t>
              </w:r>
            </w:hyperlink>
          </w:p>
        </w:tc>
        <w:tc>
          <w:tcPr>
            <w:tcW w:w="580" w:type="dxa"/>
            <w:vAlign w:val="bottom"/>
            <w:gridSpan w:val="2"/>
          </w:tcPr>
          <w:p>
            <w:pPr>
              <w:jc w:val="center"/>
              <w:ind w:left="292"/>
              <w:spacing w:after="0" w:line="155" w:lineRule="exact"/>
              <w:rPr>
                <w:rFonts w:ascii="Arial" w:cs="Arial" w:eastAsia="Arial" w:hAnsi="Arial"/>
                <w:sz w:val="14"/>
                <w:szCs w:val="14"/>
                <w:color w:val="0000FF"/>
                <w:w w:val="93"/>
              </w:rPr>
            </w:pPr>
            <w:hyperlink w:anchor="page128">
              <w:r>
                <w:rPr>
                  <w:rFonts w:ascii="Arial" w:cs="Arial" w:eastAsia="Arial" w:hAnsi="Arial"/>
                  <w:sz w:val="14"/>
                  <w:szCs w:val="14"/>
                  <w:color w:val="0000FF"/>
                  <w:w w:val="93"/>
                </w:rPr>
                <w:t>129</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60" w:type="dxa"/>
            <w:vAlign w:val="bottom"/>
          </w:tcPr>
          <w:p>
            <w:pPr>
              <w:spacing w:after="0"/>
              <w:rPr>
                <w:sz w:val="24"/>
                <w:szCs w:val="24"/>
                <w:color w:val="auto"/>
              </w:rPr>
            </w:pPr>
          </w:p>
        </w:tc>
        <w:tc>
          <w:tcPr>
            <w:tcW w:w="2840" w:type="dxa"/>
            <w:vAlign w:val="bottom"/>
            <w:tcBorders>
              <w:top w:val="single" w:sz="8" w:color="0000FF"/>
            </w:tcBorders>
          </w:tcPr>
          <w:p>
            <w:pPr>
              <w:spacing w:after="0"/>
              <w:rPr>
                <w:sz w:val="20"/>
                <w:szCs w:val="20"/>
                <w:color w:val="auto"/>
              </w:rPr>
            </w:pPr>
            <w:r>
              <w:rPr>
                <w:rFonts w:ascii="Arial" w:cs="Arial" w:eastAsia="Arial" w:hAnsi="Arial"/>
                <w:sz w:val="14"/>
                <w:szCs w:val="14"/>
                <w:b w:val="1"/>
                <w:bCs w:val="1"/>
                <w:color w:val="auto"/>
              </w:rPr>
              <w:t>Supplemental Schedules:</w:t>
            </w:r>
          </w:p>
        </w:tc>
        <w:tc>
          <w:tcPr>
            <w:tcW w:w="744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0280" w:type="dxa"/>
            <w:vAlign w:val="bottom"/>
            <w:gridSpan w:val="9"/>
          </w:tcPr>
          <w:p>
            <w:pPr>
              <w:spacing w:after="0" w:line="145" w:lineRule="exact"/>
              <w:rPr>
                <w:rFonts w:ascii="Arial" w:cs="Arial" w:eastAsia="Arial" w:hAnsi="Arial"/>
                <w:sz w:val="14"/>
                <w:szCs w:val="14"/>
                <w:color w:val="0000FF"/>
              </w:rPr>
            </w:pPr>
            <w:hyperlink w:anchor="page168">
              <w:r>
                <w:rPr>
                  <w:rFonts w:ascii="Arial" w:cs="Arial" w:eastAsia="Arial" w:hAnsi="Arial"/>
                  <w:sz w:val="14"/>
                  <w:szCs w:val="14"/>
                  <w:color w:val="0000FF"/>
                </w:rPr>
                <w:t xml:space="preserve">Supplemental Schedule I, </w:t>
              </w:r>
            </w:hyperlink>
            <w:r>
              <w:rPr>
                <w:rFonts w:ascii="Arial" w:cs="Arial" w:eastAsia="Arial" w:hAnsi="Arial"/>
                <w:sz w:val="14"/>
                <w:szCs w:val="14"/>
                <w:color w:val="0000FF"/>
              </w:rPr>
              <w:t xml:space="preserve">Summary </w:t>
            </w:r>
            <w:hyperlink w:anchor="page168">
              <w:r>
                <w:rPr>
                  <w:rFonts w:ascii="Arial" w:cs="Arial" w:eastAsia="Arial" w:hAnsi="Arial"/>
                  <w:sz w:val="14"/>
                  <w:szCs w:val="14"/>
                  <w:color w:val="0000FF"/>
                </w:rPr>
                <w:t xml:space="preserve">of </w:t>
              </w:r>
            </w:hyperlink>
            <w:r>
              <w:rPr>
                <w:rFonts w:ascii="Arial" w:cs="Arial" w:eastAsia="Arial" w:hAnsi="Arial"/>
                <w:sz w:val="14"/>
                <w:szCs w:val="14"/>
                <w:color w:val="0000FF"/>
              </w:rPr>
              <w:t>Investments</w:t>
            </w:r>
            <w:hyperlink w:anchor="page168">
              <w:r>
                <w:rPr>
                  <w:rFonts w:ascii="Arial" w:cs="Arial" w:eastAsia="Arial" w:hAnsi="Arial"/>
                  <w:sz w:val="14"/>
                  <w:szCs w:val="14"/>
                  <w:color w:val="0000FF"/>
                </w:rPr>
                <w:t>- Other than Investments in Related Parties</w:t>
              </w:r>
            </w:hyperlink>
          </w:p>
        </w:tc>
        <w:tc>
          <w:tcPr>
            <w:tcW w:w="580" w:type="dxa"/>
            <w:vAlign w:val="bottom"/>
            <w:gridSpan w:val="2"/>
          </w:tcPr>
          <w:p>
            <w:pPr>
              <w:jc w:val="center"/>
              <w:ind w:left="292"/>
              <w:spacing w:after="0" w:line="145" w:lineRule="exact"/>
              <w:rPr>
                <w:rFonts w:ascii="Arial" w:cs="Arial" w:eastAsia="Arial" w:hAnsi="Arial"/>
                <w:sz w:val="14"/>
                <w:szCs w:val="14"/>
                <w:color w:val="0000FF"/>
                <w:w w:val="93"/>
              </w:rPr>
            </w:pPr>
            <w:hyperlink w:anchor="page168">
              <w:r>
                <w:rPr>
                  <w:rFonts w:ascii="Arial" w:cs="Arial" w:eastAsia="Arial" w:hAnsi="Arial"/>
                  <w:sz w:val="14"/>
                  <w:szCs w:val="14"/>
                  <w:color w:val="0000FF"/>
                  <w:w w:val="93"/>
                </w:rPr>
                <w:t>169</w:t>
              </w:r>
            </w:hyperlink>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5680" w:type="dxa"/>
            <w:vAlign w:val="bottom"/>
            <w:gridSpan w:val="5"/>
            <w:shd w:val="clear" w:color="auto" w:fill="0000FF"/>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10280" w:type="dxa"/>
            <w:vAlign w:val="bottom"/>
            <w:gridSpan w:val="9"/>
          </w:tcPr>
          <w:p>
            <w:pPr>
              <w:spacing w:after="0" w:line="155" w:lineRule="exact"/>
              <w:rPr>
                <w:rFonts w:ascii="Arial" w:cs="Arial" w:eastAsia="Arial" w:hAnsi="Arial"/>
                <w:sz w:val="14"/>
                <w:szCs w:val="14"/>
                <w:color w:val="0000FF"/>
              </w:rPr>
            </w:pPr>
            <w:hyperlink w:anchor="page169">
              <w:r>
                <w:rPr>
                  <w:rFonts w:ascii="Arial" w:cs="Arial" w:eastAsia="Arial" w:hAnsi="Arial"/>
                  <w:sz w:val="14"/>
                  <w:szCs w:val="14"/>
                  <w:color w:val="0000FF"/>
                </w:rPr>
                <w:t xml:space="preserve">Supplemental Schedule </w:t>
              </w:r>
            </w:hyperlink>
            <w:r>
              <w:rPr>
                <w:rFonts w:ascii="Arial" w:cs="Arial" w:eastAsia="Arial" w:hAnsi="Arial"/>
                <w:sz w:val="14"/>
                <w:szCs w:val="14"/>
                <w:color w:val="0000FF"/>
              </w:rPr>
              <w:t xml:space="preserve">II, Financial </w:t>
            </w:r>
            <w:hyperlink w:anchor="page169">
              <w:r>
                <w:rPr>
                  <w:rFonts w:ascii="Arial" w:cs="Arial" w:eastAsia="Arial" w:hAnsi="Arial"/>
                  <w:sz w:val="14"/>
                  <w:szCs w:val="14"/>
                  <w:color w:val="0000FF"/>
                </w:rPr>
                <w:t xml:space="preserve">Statements of Enact Holdings, Inc. (Parent Company </w:t>
              </w:r>
            </w:hyperlink>
            <w:r>
              <w:rPr>
                <w:rFonts w:ascii="Arial" w:cs="Arial" w:eastAsia="Arial" w:hAnsi="Arial"/>
                <w:sz w:val="14"/>
                <w:szCs w:val="14"/>
                <w:color w:val="0000FF"/>
              </w:rPr>
              <w:t>Only)</w:t>
            </w:r>
          </w:p>
        </w:tc>
        <w:tc>
          <w:tcPr>
            <w:tcW w:w="580" w:type="dxa"/>
            <w:vAlign w:val="bottom"/>
            <w:gridSpan w:val="2"/>
          </w:tcPr>
          <w:p>
            <w:pPr>
              <w:jc w:val="center"/>
              <w:ind w:left="292"/>
              <w:spacing w:after="0" w:line="155" w:lineRule="exact"/>
              <w:rPr>
                <w:rFonts w:ascii="Arial" w:cs="Arial" w:eastAsia="Arial" w:hAnsi="Arial"/>
                <w:sz w:val="14"/>
                <w:szCs w:val="14"/>
                <w:color w:val="0000FF"/>
                <w:w w:val="93"/>
              </w:rPr>
            </w:pPr>
            <w:hyperlink w:anchor="page169">
              <w:r>
                <w:rPr>
                  <w:rFonts w:ascii="Arial" w:cs="Arial" w:eastAsia="Arial" w:hAnsi="Arial"/>
                  <w:sz w:val="14"/>
                  <w:szCs w:val="14"/>
                  <w:color w:val="0000FF"/>
                  <w:w w:val="93"/>
                </w:rPr>
                <w:t>170</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Enact Holdings, Inc.:</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We have audited the accompanying consolidated balance sheets of Enact Holdings, Inc. and subsidiaries (the Company) as of December 31, 2021 and 2020, the related consolidated statements of income, comprehensive income, changes in equity, and cash flows for each of the years in the three-year period ended December 31, 2021, and the related notes and financial statement schedules I to II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 reserves</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As described in Notes 2 and 5 to the consolidated financial statements, the Company estimates the liabilities for losses on insured mortgage loans (loss reserves) by estimating the number of loans in their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The Company’s loss reserves were $641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2" w:name="page123"/>
    <w:bookmarkEnd w:id="122"/>
    <w:p>
      <w:pPr>
        <w:jc w:val="both"/>
        <w:spacing w:after="0" w:line="246" w:lineRule="auto"/>
        <w:rPr>
          <w:sz w:val="20"/>
          <w:szCs w:val="20"/>
          <w:color w:val="auto"/>
        </w:rPr>
      </w:pPr>
      <w:r>
        <w:rPr>
          <w:rFonts w:ascii="Arial" w:cs="Arial" w:eastAsia="Arial" w:hAnsi="Arial"/>
          <w:sz w:val="14"/>
          <w:szCs w:val="14"/>
          <w:color w:val="auto"/>
        </w:rPr>
        <w:t>We identified the assessment of the valuation of loss reserves to be a critical audit matter. The claim severity and claim rate assumptions used to develop reserves were inherently uncertain and involved significant management judgment, which required especially subjective auditor judgment. Additionally, the audit effort to assess the valuation of loss reserves required the involvement of professionals with specialized knowledge and experience.</w:t>
      </w:r>
    </w:p>
    <w:p>
      <w:pPr>
        <w:spacing w:after="0" w:line="12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following are the primary procedures we performed to address the critical audit matter. We evaluated, with the assistance of actuarial professionals, the design and tested the operating effectiveness of certain internal controls related to the valuation of loss reserves. This included controls related to the review and approval of the claim severity and claim rate reserve factors used in the estimate for loss reserves. We involved actuarial professionals with specialized knowledge and experience, who assisted in:</w:t>
      </w:r>
    </w:p>
    <w:p>
      <w:pPr>
        <w:spacing w:after="0" w:line="120" w:lineRule="exact"/>
        <w:rPr>
          <w:sz w:val="20"/>
          <w:szCs w:val="20"/>
          <w:color w:val="auto"/>
        </w:rPr>
      </w:pPr>
    </w:p>
    <w:p>
      <w:pPr>
        <w:ind w:left="500" w:hanging="252"/>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Assessing the Company’s reserving methodology by comparing to accepted actuarial methodologies; and</w:t>
      </w:r>
    </w:p>
    <w:p>
      <w:pPr>
        <w:spacing w:after="0" w:line="126" w:lineRule="exact"/>
        <w:rPr>
          <w:rFonts w:ascii="Arial" w:cs="Arial" w:eastAsia="Arial" w:hAnsi="Arial"/>
          <w:sz w:val="14"/>
          <w:szCs w:val="14"/>
          <w:color w:val="auto"/>
        </w:rPr>
      </w:pPr>
    </w:p>
    <w:p>
      <w:pPr>
        <w:jc w:val="both"/>
        <w:ind w:left="500" w:hanging="252"/>
        <w:spacing w:after="0" w:line="246" w:lineRule="auto"/>
        <w:tabs>
          <w:tab w:leader="none" w:pos="497"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Developing an independent estimate and range for a portion of the loss reserves, using the Company’s underlying historical claims and delinquency data and independently developed models and assumptions and assessing the position in the range and the year-over-year movements of the Company’s recorded loss reserves within the developed independent range.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2019.</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2"/>
                <w:szCs w:val="12"/>
                <w:color w:val="auto"/>
              </w:rPr>
            </w:pPr>
          </w:p>
        </w:tc>
      </w:tr>
      <w:tr>
        <w:trPr>
          <w:trHeight w:val="13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 except par value per share amount)</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2020</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43"/>
        </w:trPr>
        <w:tc>
          <w:tcPr>
            <w:tcW w:w="8040" w:type="dxa"/>
            <w:vAlign w:val="bottom"/>
          </w:tcPr>
          <w:p>
            <w:pPr>
              <w:ind w:left="20"/>
              <w:spacing w:after="0" w:line="143" w:lineRule="exact"/>
              <w:rPr>
                <w:sz w:val="20"/>
                <w:szCs w:val="20"/>
                <w:color w:val="auto"/>
              </w:rPr>
            </w:pPr>
            <w:r>
              <w:rPr>
                <w:rFonts w:ascii="Arial" w:cs="Arial" w:eastAsia="Arial" w:hAnsi="Arial"/>
                <w:sz w:val="14"/>
                <w:szCs w:val="14"/>
                <w:color w:val="auto"/>
              </w:rPr>
              <w:t>Fixed maturity securities available-for-sale, at fair value (amortized cost $5,160,174 and $4,781,916 at December 31, 2021 and</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4"/>
        </w:trPr>
        <w:tc>
          <w:tcPr>
            <w:tcW w:w="8040" w:type="dxa"/>
            <w:vAlign w:val="bottom"/>
          </w:tcPr>
          <w:p>
            <w:pPr>
              <w:ind w:left="140"/>
              <w:spacing w:after="0"/>
              <w:rPr>
                <w:sz w:val="20"/>
                <w:szCs w:val="20"/>
                <w:color w:val="auto"/>
              </w:rPr>
            </w:pPr>
            <w:r>
              <w:rPr>
                <w:rFonts w:ascii="Arial" w:cs="Arial" w:eastAsia="Arial" w:hAnsi="Arial"/>
                <w:sz w:val="14"/>
                <w:szCs w:val="14"/>
                <w:color w:val="auto"/>
              </w:rPr>
              <w:t>2020, respectively)</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5,266,339</w:t>
            </w:r>
          </w:p>
        </w:tc>
        <w:tc>
          <w:tcPr>
            <w:tcW w:w="80" w:type="dxa"/>
            <w:vAlign w:val="bottom"/>
          </w:tcPr>
          <w:p>
            <w:pPr>
              <w:spacing w:after="0"/>
              <w:rPr>
                <w:sz w:val="14"/>
                <w:szCs w:val="14"/>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5,046,596</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425,828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452,794</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31,061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29,210</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acquisition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28,872</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Premiums receivable (net of allowance for credit losses of $893 as of December 31, 2021)</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42,266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46,464</w:t>
            </w: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73,059</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48,774</w:t>
            </w:r>
          </w:p>
        </w:tc>
      </w:tr>
      <w:tr>
        <w:trPr>
          <w:trHeight w:val="165"/>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5,865,773</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5,652,710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5"/>
        </w:trPr>
        <w:tc>
          <w:tcPr>
            <w:tcW w:w="8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Liabilities and equity</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reserves</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641,325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555,679</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Unearned premiums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246,319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306,945</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130,604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133,302</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Long-term borrowings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740,416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738,162</w:t>
            </w: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36,811</w:t>
            </w:r>
          </w:p>
        </w:tc>
      </w:tr>
      <w:tr>
        <w:trPr>
          <w:trHeight w:val="165"/>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1,760,250</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1,770,899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5"/>
        </w:trPr>
        <w:tc>
          <w:tcPr>
            <w:tcW w:w="8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Equity:</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Common stock, $0.01 par value; 600,000 shares authorized; 162,840 shares issued and outstanding</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1,628</w:t>
            </w:r>
          </w:p>
        </w:tc>
        <w:tc>
          <w:tcPr>
            <w:tcW w:w="80" w:type="dxa"/>
            <w:vAlign w:val="bottom"/>
          </w:tcPr>
          <w:p>
            <w:pPr>
              <w:spacing w:after="0"/>
              <w:rPr>
                <w:sz w:val="15"/>
                <w:szCs w:val="15"/>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1,628</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2,371,861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2,368,699</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83,581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208,378</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1,648,453</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1,303,106</w:t>
            </w:r>
          </w:p>
        </w:tc>
      </w:tr>
      <w:tr>
        <w:trPr>
          <w:trHeight w:val="16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4,105,523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3,881,811</w:t>
            </w:r>
          </w:p>
        </w:tc>
      </w:tr>
      <w:tr>
        <w:trPr>
          <w:trHeight w:val="19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5,865,773</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5,652,710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Years ended</w:t>
            </w: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33"/>
        </w:trPr>
        <w:tc>
          <w:tcPr>
            <w:tcW w:w="64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7"/>
              </w:rPr>
              <w:t>December 31,</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3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 except per share amounts)</w:t>
            </w: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2019</w:t>
            </w:r>
          </w:p>
        </w:tc>
      </w:tr>
      <w:tr>
        <w:trPr>
          <w:trHeight w:val="16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Premiums</w:t>
            </w: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974,949</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971,365</w:t>
            </w:r>
          </w:p>
        </w:tc>
        <w:tc>
          <w:tcPr>
            <w:tcW w:w="8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856,976</w:t>
            </w:r>
          </w:p>
        </w:tc>
      </w:tr>
      <w:tr>
        <w:trPr>
          <w:trHeight w:val="17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132,843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116,927</w:t>
            </w: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Net investment gains (losses)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718</w:t>
            </w:r>
          </w:p>
        </w:tc>
      </w:tr>
      <w:tr>
        <w:trPr>
          <w:trHeight w:val="17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r>
      <w:tr>
        <w:trPr>
          <w:trHeight w:val="16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1,117,855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1,106,459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978,853</w:t>
            </w:r>
          </w:p>
        </w:tc>
      </w:tr>
      <w:tr>
        <w:trPr>
          <w:trHeight w:val="16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Losses and expenses: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Losses incurred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125,473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379,834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49,850</w:t>
            </w:r>
          </w:p>
        </w:tc>
      </w:tr>
      <w:tr>
        <w:trPr>
          <w:trHeight w:val="17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operating expenses, net of deferrals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231,453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215,024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195,768</w:t>
            </w: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Amortization of deferred acquisition costs and intangibles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20,939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15,065</w:t>
            </w:r>
          </w:p>
        </w:tc>
      </w:tr>
      <w:tr>
        <w:trPr>
          <w:trHeight w:val="17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51,009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losses and expenses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422,639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634,041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260,683</w:t>
            </w:r>
          </w:p>
        </w:tc>
      </w:tr>
      <w:tr>
        <w:trPr>
          <w:trHeight w:val="16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 and change in fair value of unconsolidated affiliate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695,216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718,170</w:t>
            </w:r>
          </w:p>
        </w:tc>
      </w:tr>
      <w:tr>
        <w:trPr>
          <w:trHeight w:val="17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148,531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101,997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155,832</w:t>
            </w:r>
          </w:p>
        </w:tc>
      </w:tr>
      <w:tr>
        <w:trPr>
          <w:trHeight w:val="16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change in fair value of unconsolidated affiliate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546,685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370,421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562,338</w:t>
            </w: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Change in fair value of unconsolidated affiliate, net of tax</w:t>
            </w: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115,290</w:t>
            </w:r>
          </w:p>
        </w:tc>
      </w:tr>
      <w:tr>
        <w:trPr>
          <w:trHeight w:val="190"/>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546,685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370,421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677,628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35"/>
        </w:trPr>
        <w:tc>
          <w:tcPr>
            <w:tcW w:w="6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common share: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17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74"/>
        </w:trPr>
        <w:tc>
          <w:tcPr>
            <w:tcW w:w="642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162,840</w:t>
            </w:r>
          </w:p>
        </w:tc>
      </w:tr>
      <w:tr>
        <w:trPr>
          <w:trHeight w:val="173"/>
        </w:trPr>
        <w:tc>
          <w:tcPr>
            <w:tcW w:w="6420" w:type="dxa"/>
            <w:vAlign w:val="bottom"/>
          </w:tcPr>
          <w:p>
            <w:pPr>
              <w:ind w:left="2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162,879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162,840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162,840</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Years ended</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33"/>
        </w:trPr>
        <w:tc>
          <w:tcPr>
            <w:tcW w:w="6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7"/>
              </w:rPr>
              <w:t>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677,628</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unrealized gains (losses) on securities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119,953</w:t>
            </w: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(125,078)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119,953</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421,607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485,368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797,581</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EQUITY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10"/>
                <w:szCs w:val="1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Accumulated</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Common</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gridSpan w:val="2"/>
          </w:tcPr>
          <w:p>
            <w:pPr>
              <w:jc w:val="center"/>
              <w:ind w:right="320"/>
              <w:spacing w:after="0" w:line="103" w:lineRule="exact"/>
              <w:rPr>
                <w:sz w:val="20"/>
                <w:szCs w:val="20"/>
                <w:color w:val="auto"/>
              </w:rPr>
            </w:pPr>
            <w:r>
              <w:rPr>
                <w:rFonts w:ascii="Arial" w:cs="Arial" w:eastAsia="Arial" w:hAnsi="Arial"/>
                <w:sz w:val="11"/>
                <w:szCs w:val="11"/>
                <w:b w:val="1"/>
                <w:bCs w:val="1"/>
                <w:color w:val="auto"/>
                <w:w w:val="94"/>
              </w:rPr>
              <w:t>other</w:t>
            </w:r>
          </w:p>
        </w:tc>
        <w:tc>
          <w:tcPr>
            <w:tcW w:w="360" w:type="dxa"/>
            <w:vAlign w:val="bottom"/>
          </w:tcPr>
          <w:p>
            <w:pPr>
              <w:spacing w:after="0"/>
              <w:rPr>
                <w:sz w:val="8"/>
                <w:szCs w:val="8"/>
                <w:color w:val="auto"/>
              </w:rPr>
            </w:pPr>
          </w:p>
        </w:tc>
        <w:tc>
          <w:tcPr>
            <w:tcW w:w="14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Retained</w:t>
            </w:r>
          </w:p>
        </w:tc>
        <w:tc>
          <w:tcPr>
            <w:tcW w:w="400" w:type="dxa"/>
            <w:vAlign w:val="bottom"/>
          </w:tcPr>
          <w:p>
            <w:pPr>
              <w:spacing w:after="0"/>
              <w:rPr>
                <w:sz w:val="8"/>
                <w:szCs w:val="8"/>
                <w:color w:val="auto"/>
              </w:rPr>
            </w:pPr>
          </w:p>
        </w:tc>
        <w:tc>
          <w:tcPr>
            <w:tcW w:w="1340" w:type="dxa"/>
            <w:vAlign w:val="bottom"/>
            <w:vMerge w:val="restart"/>
          </w:tcPr>
          <w:p>
            <w:pPr>
              <w:jc w:val="right"/>
              <w:ind w:right="67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3"/>
        </w:trPr>
        <w:tc>
          <w:tcPr>
            <w:tcW w:w="2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8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2"/>
          </w:tcPr>
          <w:p>
            <w:pPr>
              <w:jc w:val="center"/>
              <w:ind w:right="440"/>
              <w:spacing w:after="0" w:line="103" w:lineRule="exact"/>
              <w:rPr>
                <w:sz w:val="20"/>
                <w:szCs w:val="20"/>
                <w:color w:val="auto"/>
              </w:rPr>
            </w:pPr>
            <w:r>
              <w:rPr>
                <w:rFonts w:ascii="Arial" w:cs="Arial" w:eastAsia="Arial" w:hAnsi="Arial"/>
                <w:sz w:val="11"/>
                <w:szCs w:val="11"/>
                <w:b w:val="1"/>
                <w:bCs w:val="1"/>
                <w:color w:val="auto"/>
                <w:w w:val="99"/>
              </w:rPr>
              <w:t>paid-in</w:t>
            </w:r>
          </w:p>
        </w:tc>
        <w:tc>
          <w:tcPr>
            <w:tcW w:w="240" w:type="dxa"/>
            <w:vAlign w:val="bottom"/>
          </w:tcPr>
          <w:p>
            <w:pPr>
              <w:spacing w:after="0"/>
              <w:rPr>
                <w:sz w:val="8"/>
                <w:szCs w:val="8"/>
                <w:color w:val="auto"/>
              </w:rPr>
            </w:pPr>
          </w:p>
        </w:tc>
        <w:tc>
          <w:tcPr>
            <w:tcW w:w="1460" w:type="dxa"/>
            <w:vAlign w:val="bottom"/>
            <w:gridSpan w:val="2"/>
          </w:tcPr>
          <w:p>
            <w:pPr>
              <w:jc w:val="center"/>
              <w:ind w:right="340"/>
              <w:spacing w:after="0" w:line="103" w:lineRule="exact"/>
              <w:rPr>
                <w:sz w:val="20"/>
                <w:szCs w:val="20"/>
                <w:color w:val="auto"/>
              </w:rPr>
            </w:pPr>
            <w:r>
              <w:rPr>
                <w:rFonts w:ascii="Arial" w:cs="Arial" w:eastAsia="Arial" w:hAnsi="Arial"/>
                <w:sz w:val="11"/>
                <w:szCs w:val="11"/>
                <w:b w:val="1"/>
                <w:bCs w:val="1"/>
                <w:color w:val="auto"/>
                <w:w w:val="99"/>
              </w:rPr>
              <w:t>comprehensive</w:t>
            </w:r>
          </w:p>
        </w:tc>
        <w:tc>
          <w:tcPr>
            <w:tcW w:w="36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800" w:type="dxa"/>
            <w:vAlign w:val="bottom"/>
            <w:vMerge w:val="continue"/>
          </w:tcPr>
          <w:p>
            <w:pPr>
              <w:spacing w:after="0"/>
              <w:rPr>
                <w:sz w:val="11"/>
                <w:szCs w:val="11"/>
                <w:color w:val="auto"/>
              </w:rPr>
            </w:pPr>
          </w:p>
        </w:tc>
        <w:tc>
          <w:tcPr>
            <w:tcW w:w="880" w:type="dxa"/>
            <w:vAlign w:val="bottom"/>
          </w:tcPr>
          <w:p>
            <w:pPr>
              <w:jc w:val="right"/>
              <w:ind w:right="36"/>
              <w:spacing w:after="0"/>
              <w:rPr>
                <w:sz w:val="20"/>
                <w:szCs w:val="20"/>
                <w:color w:val="auto"/>
              </w:rPr>
            </w:pPr>
            <w:r>
              <w:rPr>
                <w:rFonts w:ascii="Arial" w:cs="Arial" w:eastAsia="Arial" w:hAnsi="Arial"/>
                <w:sz w:val="11"/>
                <w:szCs w:val="11"/>
                <w:b w:val="1"/>
                <w:bCs w:val="1"/>
                <w:color w:val="auto"/>
              </w:rPr>
              <w:t>stock</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7"/>
              </w:rPr>
              <w:t>capital</w:t>
            </w:r>
          </w:p>
        </w:tc>
        <w:tc>
          <w:tcPr>
            <w:tcW w:w="240" w:type="dxa"/>
            <w:vAlign w:val="bottom"/>
          </w:tcPr>
          <w:p>
            <w:pPr>
              <w:spacing w:after="0"/>
              <w:rPr>
                <w:sz w:val="11"/>
                <w:szCs w:val="1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income (loss)</w:t>
            </w:r>
          </w:p>
        </w:tc>
        <w:tc>
          <w:tcPr>
            <w:tcW w:w="360" w:type="dxa"/>
            <w:vAlign w:val="bottom"/>
          </w:tcPr>
          <w:p>
            <w:pPr>
              <w:spacing w:after="0"/>
              <w:rPr>
                <w:sz w:val="11"/>
                <w:szCs w:val="11"/>
                <w:color w:val="auto"/>
              </w:rPr>
            </w:pPr>
          </w:p>
        </w:tc>
        <w:tc>
          <w:tcPr>
            <w:tcW w:w="1480" w:type="dxa"/>
            <w:vAlign w:val="bottom"/>
            <w:gridSpan w:val="2"/>
          </w:tcPr>
          <w:p>
            <w:pPr>
              <w:ind w:left="280"/>
              <w:spacing w:after="0"/>
              <w:rPr>
                <w:sz w:val="20"/>
                <w:szCs w:val="20"/>
                <w:color w:val="auto"/>
              </w:rPr>
            </w:pPr>
            <w:r>
              <w:rPr>
                <w:rFonts w:ascii="Arial" w:cs="Arial" w:eastAsia="Arial" w:hAnsi="Arial"/>
                <w:sz w:val="11"/>
                <w:szCs w:val="11"/>
                <w:b w:val="1"/>
                <w:bCs w:val="1"/>
                <w:color w:val="auto"/>
              </w:rPr>
              <w:t>earnings</w:t>
            </w:r>
          </w:p>
        </w:tc>
        <w:tc>
          <w:tcPr>
            <w:tcW w:w="400" w:type="dxa"/>
            <w:vAlign w:val="bottom"/>
          </w:tcPr>
          <w:p>
            <w:pPr>
              <w:spacing w:after="0"/>
              <w:rPr>
                <w:sz w:val="11"/>
                <w:szCs w:val="11"/>
                <w:color w:val="auto"/>
              </w:rPr>
            </w:pPr>
          </w:p>
        </w:tc>
        <w:tc>
          <w:tcPr>
            <w:tcW w:w="1340" w:type="dxa"/>
            <w:vAlign w:val="bottom"/>
          </w:tcPr>
          <w:p>
            <w:pPr>
              <w:jc w:val="right"/>
              <w:ind w:right="65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5"/>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1,628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2,356,223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(26,522)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942,410</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3,273,739</w:t>
            </w: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677,628</w:t>
            </w:r>
          </w:p>
        </w:tc>
        <w:tc>
          <w:tcPr>
            <w:tcW w:w="0" w:type="dxa"/>
            <w:vAlign w:val="bottom"/>
          </w:tcPr>
          <w:p>
            <w:pPr>
              <w:spacing w:after="0"/>
              <w:rPr>
                <w:sz w:val="1"/>
                <w:szCs w:val="1"/>
                <w:color w:val="auto"/>
              </w:rPr>
            </w:pPr>
          </w:p>
        </w:tc>
      </w:tr>
      <w:tr>
        <w:trPr>
          <w:trHeight w:val="174"/>
        </w:trPr>
        <w:tc>
          <w:tcPr>
            <w:tcW w:w="2800" w:type="dxa"/>
            <w:vAlign w:val="bottom"/>
          </w:tcPr>
          <w:p>
            <w:pPr>
              <w:ind w:left="180"/>
              <w:spacing w:after="0"/>
              <w:rPr>
                <w:sz w:val="20"/>
                <w:szCs w:val="20"/>
                <w:color w:val="auto"/>
              </w:rPr>
            </w:pPr>
            <w:r>
              <w:rPr>
                <w:rFonts w:ascii="Arial" w:cs="Arial" w:eastAsia="Arial" w:hAnsi="Arial"/>
                <w:sz w:val="14"/>
                <w:szCs w:val="14"/>
                <w:color w:val="auto"/>
                <w:w w:val="98"/>
              </w:rPr>
              <w:t>Other comprehensive income, net of taxes</w:t>
            </w:r>
          </w:p>
        </w:tc>
        <w:tc>
          <w:tcPr>
            <w:tcW w:w="8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119,953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119,953</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to Genworth</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4"/>
                <w:szCs w:val="14"/>
                <w:color w:val="auto"/>
              </w:rPr>
              <w:t>Capital contributions from Genworth</w:t>
            </w:r>
          </w:p>
        </w:tc>
        <w:tc>
          <w:tcPr>
            <w:tcW w:w="8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r>
        <w:trPr>
          <w:trHeight w:val="165"/>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1,628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2,361,978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93,431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1,370,038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3,827,075</w:t>
            </w:r>
          </w:p>
        </w:tc>
        <w:tc>
          <w:tcPr>
            <w:tcW w:w="0" w:type="dxa"/>
            <w:vAlign w:val="bottom"/>
          </w:tcPr>
          <w:p>
            <w:pPr>
              <w:spacing w:after="0"/>
              <w:rPr>
                <w:sz w:val="1"/>
                <w:szCs w:val="1"/>
                <w:color w:val="auto"/>
              </w:rPr>
            </w:pPr>
          </w:p>
        </w:tc>
      </w:tr>
      <w:tr>
        <w:trPr>
          <w:trHeight w:val="154"/>
        </w:trPr>
        <w:tc>
          <w:tcPr>
            <w:tcW w:w="2800" w:type="dxa"/>
            <w:vAlign w:val="bottom"/>
          </w:tcPr>
          <w:p>
            <w:pPr>
              <w:ind w:left="20"/>
              <w:spacing w:after="0" w:line="153" w:lineRule="exact"/>
              <w:rPr>
                <w:sz w:val="20"/>
                <w:szCs w:val="20"/>
                <w:color w:val="auto"/>
              </w:rPr>
            </w:pPr>
            <w:r>
              <w:rPr>
                <w:rFonts w:ascii="Arial" w:cs="Arial" w:eastAsia="Arial" w:hAnsi="Arial"/>
                <w:sz w:val="14"/>
                <w:szCs w:val="14"/>
                <w:color w:val="auto"/>
              </w:rPr>
              <w:t>Comprehensive income:</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w:t>
            </w:r>
          </w:p>
        </w:tc>
        <w:tc>
          <w:tcPr>
            <w:tcW w:w="0" w:type="dxa"/>
            <w:vAlign w:val="bottom"/>
          </w:tcPr>
          <w:p>
            <w:pPr>
              <w:spacing w:after="0"/>
              <w:rPr>
                <w:sz w:val="1"/>
                <w:szCs w:val="1"/>
                <w:color w:val="auto"/>
              </w:rPr>
            </w:pPr>
          </w:p>
        </w:tc>
      </w:tr>
      <w:tr>
        <w:trPr>
          <w:trHeight w:val="174"/>
        </w:trPr>
        <w:tc>
          <w:tcPr>
            <w:tcW w:w="2800" w:type="dxa"/>
            <w:vAlign w:val="bottom"/>
          </w:tcPr>
          <w:p>
            <w:pPr>
              <w:ind w:left="180"/>
              <w:spacing w:after="0"/>
              <w:rPr>
                <w:sz w:val="20"/>
                <w:szCs w:val="20"/>
                <w:color w:val="auto"/>
              </w:rPr>
            </w:pPr>
            <w:r>
              <w:rPr>
                <w:rFonts w:ascii="Arial" w:cs="Arial" w:eastAsia="Arial" w:hAnsi="Arial"/>
                <w:sz w:val="14"/>
                <w:szCs w:val="14"/>
                <w:color w:val="auto"/>
                <w:w w:val="98"/>
              </w:rPr>
              <w:t>Other comprehensive income, net of taxes</w:t>
            </w:r>
          </w:p>
        </w:tc>
        <w:tc>
          <w:tcPr>
            <w:tcW w:w="8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114,947</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to Genworth</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(437,353)</w:t>
            </w: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4"/>
                <w:szCs w:val="14"/>
                <w:color w:val="auto"/>
              </w:rPr>
              <w:t>Capital contributions from Genworth</w:t>
            </w:r>
          </w:p>
        </w:tc>
        <w:tc>
          <w:tcPr>
            <w:tcW w:w="8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165"/>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1,628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2,368,699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208,378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1,303,106</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3,881,811</w:t>
            </w:r>
          </w:p>
        </w:tc>
        <w:tc>
          <w:tcPr>
            <w:tcW w:w="0" w:type="dxa"/>
            <w:vAlign w:val="bottom"/>
          </w:tcPr>
          <w:p>
            <w:pPr>
              <w:spacing w:after="0"/>
              <w:rPr>
                <w:sz w:val="1"/>
                <w:szCs w:val="1"/>
                <w:color w:val="auto"/>
              </w:rPr>
            </w:pPr>
          </w:p>
        </w:tc>
      </w:tr>
      <w:tr>
        <w:trPr>
          <w:trHeight w:val="123"/>
        </w:trPr>
        <w:tc>
          <w:tcPr>
            <w:tcW w:w="2800" w:type="dxa"/>
            <w:vAlign w:val="bottom"/>
          </w:tcPr>
          <w:p>
            <w:pPr>
              <w:ind w:left="20"/>
              <w:spacing w:after="0" w:line="123" w:lineRule="exact"/>
              <w:rPr>
                <w:sz w:val="20"/>
                <w:szCs w:val="20"/>
                <w:color w:val="auto"/>
              </w:rPr>
            </w:pPr>
            <w:r>
              <w:rPr>
                <w:rFonts w:ascii="Arial" w:cs="Arial" w:eastAsia="Arial" w:hAnsi="Arial"/>
                <w:sz w:val="14"/>
                <w:szCs w:val="14"/>
                <w:color w:val="auto"/>
              </w:rPr>
              <w:t>Cumulative effect of change in accounting,</w:t>
            </w: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00" w:type="dxa"/>
            <w:vAlign w:val="bottom"/>
          </w:tcPr>
          <w:p>
            <w:pPr>
              <w:ind w:left="140"/>
              <w:spacing w:after="0"/>
              <w:rPr>
                <w:sz w:val="20"/>
                <w:szCs w:val="20"/>
                <w:color w:val="auto"/>
              </w:rPr>
            </w:pPr>
            <w:r>
              <w:rPr>
                <w:rFonts w:ascii="Arial" w:cs="Arial" w:eastAsia="Arial" w:hAnsi="Arial"/>
                <w:sz w:val="14"/>
                <w:szCs w:val="14"/>
                <w:color w:val="auto"/>
              </w:rPr>
              <w:t>net of taxes</w:t>
            </w:r>
          </w:p>
        </w:tc>
        <w:tc>
          <w:tcPr>
            <w:tcW w:w="8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546,685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546,685</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Other comprehensive income, net of taxes</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(125,078)</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expense and</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800" w:type="dxa"/>
            <w:vAlign w:val="bottom"/>
          </w:tcPr>
          <w:p>
            <w:pPr>
              <w:ind w:left="140"/>
              <w:spacing w:after="0"/>
              <w:rPr>
                <w:sz w:val="20"/>
                <w:szCs w:val="20"/>
                <w:color w:val="auto"/>
              </w:rPr>
            </w:pPr>
            <w:r>
              <w:rPr>
                <w:rFonts w:ascii="Arial" w:cs="Arial" w:eastAsia="Arial" w:hAnsi="Arial"/>
                <w:sz w:val="14"/>
                <w:szCs w:val="14"/>
                <w:color w:val="auto"/>
              </w:rPr>
              <w:t>exercises and other</w:t>
            </w:r>
          </w:p>
        </w:tc>
        <w:tc>
          <w:tcPr>
            <w:tcW w:w="8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(200,294)</w:t>
            </w:r>
          </w:p>
        </w:tc>
        <w:tc>
          <w:tcPr>
            <w:tcW w:w="0" w:type="dxa"/>
            <w:vAlign w:val="bottom"/>
          </w:tcPr>
          <w:p>
            <w:pPr>
              <w:spacing w:after="0"/>
              <w:rPr>
                <w:sz w:val="1"/>
                <w:szCs w:val="1"/>
                <w:color w:val="auto"/>
              </w:rPr>
            </w:pPr>
          </w:p>
        </w:tc>
      </w:tr>
      <w:tr>
        <w:trPr>
          <w:trHeight w:val="174"/>
        </w:trPr>
        <w:tc>
          <w:tcPr>
            <w:tcW w:w="2800" w:type="dxa"/>
            <w:vAlign w:val="bottom"/>
          </w:tcPr>
          <w:p>
            <w:pPr>
              <w:ind w:left="20"/>
              <w:spacing w:after="0"/>
              <w:rPr>
                <w:sz w:val="20"/>
                <w:szCs w:val="20"/>
                <w:color w:val="auto"/>
              </w:rPr>
            </w:pPr>
            <w:r>
              <w:rPr>
                <w:rFonts w:ascii="Arial" w:cs="Arial" w:eastAsia="Arial" w:hAnsi="Arial"/>
                <w:sz w:val="14"/>
                <w:szCs w:val="14"/>
                <w:color w:val="auto"/>
              </w:rPr>
              <w:t>Capital contributions from Genworth</w:t>
            </w:r>
          </w:p>
        </w:tc>
        <w:tc>
          <w:tcPr>
            <w:tcW w:w="8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9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1,628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2,371,861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1,648,453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4,105,523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ENACT HOLDINGS, INC. CONSOLIDATED 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Years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(Amounts 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34"/>
        </w:trPr>
        <w:tc>
          <w:tcPr>
            <w:tcW w:w="638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Cash flows from operating activities: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3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546,685</w:t>
            </w:r>
          </w:p>
        </w:tc>
        <w:tc>
          <w:tcPr>
            <w:tcW w:w="80" w:type="dxa"/>
            <w:vAlign w:val="bottom"/>
          </w:tcPr>
          <w:p>
            <w:pPr>
              <w:spacing w:after="0"/>
              <w:rPr>
                <w:sz w:val="13"/>
                <w:szCs w:val="13"/>
                <w:color w:val="auto"/>
              </w:rPr>
            </w:pP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370,421</w:t>
            </w:r>
          </w:p>
        </w:tc>
        <w:tc>
          <w:tcPr>
            <w:tcW w:w="80" w:type="dxa"/>
            <w:vAlign w:val="bottom"/>
          </w:tcPr>
          <w:p>
            <w:pPr>
              <w:spacing w:after="0"/>
              <w:rPr>
                <w:sz w:val="13"/>
                <w:szCs w:val="13"/>
                <w:color w:val="auto"/>
              </w:rPr>
            </w:pP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677,628</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Adjustments to reconcile net income to net cash provided by 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Net (gains) losses on investments</w:t>
            </w:r>
          </w:p>
        </w:tc>
        <w:tc>
          <w:tcPr>
            <w:tcW w:w="3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2,124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3,324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(718)</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of fixed maturity securities discounts and premiums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(2,594)</w:t>
            </w: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Amortization of deferred acquisition costs and intangibles</w:t>
            </w:r>
          </w:p>
        </w:tc>
        <w:tc>
          <w:tcPr>
            <w:tcW w:w="3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14,704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20,939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15,065</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Acquisition costs deferred</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(10,618)</w:t>
            </w: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Deferred income taxes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11,133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56,731</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fair value of investment in unconsolidated affiliate, excluding cash dividend</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(85,491)</w:t>
            </w: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Stock-based compensation expense</w:t>
            </w:r>
          </w:p>
        </w:tc>
        <w:tc>
          <w:tcPr>
            <w:tcW w:w="3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1,496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of debt issuance costs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2,254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Other</w:t>
            </w:r>
          </w:p>
        </w:tc>
        <w:tc>
          <w:tcPr>
            <w:tcW w:w="3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907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6,720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6,220</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Change in certain assets and liabilities: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Accrued investment income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(1,851)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(5,051)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(2,237)</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Premiums receivable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4,198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w:t>
            </w: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Other assets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(7,312)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5,031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(31,599)</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reserves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85,646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320,617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(62,817)</w:t>
            </w:r>
          </w:p>
        </w:tc>
        <w:tc>
          <w:tcPr>
            <w:tcW w:w="0" w:type="dxa"/>
            <w:vAlign w:val="bottom"/>
          </w:tcPr>
          <w:p>
            <w:pPr>
              <w:spacing w:after="0"/>
              <w:rPr>
                <w:sz w:val="1"/>
                <w:szCs w:val="1"/>
                <w:color w:val="auto"/>
              </w:rPr>
            </w:pPr>
          </w:p>
        </w:tc>
      </w:tr>
      <w:tr>
        <w:trPr>
          <w:trHeight w:val="150"/>
        </w:trPr>
        <w:tc>
          <w:tcPr>
            <w:tcW w:w="6380" w:type="dxa"/>
            <w:vAlign w:val="bottom"/>
          </w:tcPr>
          <w:p>
            <w:pPr>
              <w:ind w:left="180"/>
              <w:spacing w:after="0"/>
              <w:rPr>
                <w:sz w:val="20"/>
                <w:szCs w:val="20"/>
                <w:color w:val="auto"/>
              </w:rPr>
            </w:pPr>
            <w:r>
              <w:rPr>
                <w:rFonts w:ascii="Arial" w:cs="Arial" w:eastAsia="Arial" w:hAnsi="Arial"/>
                <w:sz w:val="12"/>
                <w:szCs w:val="12"/>
                <w:color w:val="auto"/>
              </w:rPr>
              <w:t>Unearned premiums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(60,626)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(76,513)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(38,330)</w:t>
            </w:r>
          </w:p>
        </w:tc>
        <w:tc>
          <w:tcPr>
            <w:tcW w:w="0" w:type="dxa"/>
            <w:vAlign w:val="bottom"/>
          </w:tcPr>
          <w:p>
            <w:pPr>
              <w:spacing w:after="0"/>
              <w:rPr>
                <w:sz w:val="1"/>
                <w:szCs w:val="1"/>
                <w:color w:val="auto"/>
              </w:rPr>
            </w:pPr>
          </w:p>
        </w:tc>
      </w:tr>
      <w:tr>
        <w:trPr>
          <w:trHeight w:val="174"/>
        </w:trPr>
        <w:tc>
          <w:tcPr>
            <w:tcW w:w="6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liabilities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1,072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71,108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(20,065)</w:t>
            </w:r>
          </w:p>
        </w:tc>
        <w:tc>
          <w:tcPr>
            <w:tcW w:w="0" w:type="dxa"/>
            <w:vAlign w:val="bottom"/>
          </w:tcPr>
          <w:p>
            <w:pPr>
              <w:spacing w:after="0"/>
              <w:rPr>
                <w:sz w:val="1"/>
                <w:szCs w:val="1"/>
                <w:color w:val="auto"/>
              </w:rPr>
            </w:pPr>
          </w:p>
        </w:tc>
      </w:tr>
      <w:tr>
        <w:trPr>
          <w:trHeight w:val="14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572,117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704,350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500,020</w:t>
            </w:r>
          </w:p>
        </w:tc>
        <w:tc>
          <w:tcPr>
            <w:tcW w:w="0" w:type="dxa"/>
            <w:vAlign w:val="bottom"/>
          </w:tcPr>
          <w:p>
            <w:pPr>
              <w:spacing w:after="0"/>
              <w:rPr>
                <w:sz w:val="1"/>
                <w:szCs w:val="1"/>
                <w:color w:val="auto"/>
              </w:rPr>
            </w:pPr>
          </w:p>
        </w:tc>
      </w:tr>
      <w:tr>
        <w:trPr>
          <w:trHeight w:val="155"/>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380" w:type="dxa"/>
            <w:vAlign w:val="bottom"/>
          </w:tcPr>
          <w:p>
            <w:pPr>
              <w:ind w:left="20"/>
              <w:spacing w:after="0"/>
              <w:rPr>
                <w:sz w:val="20"/>
                <w:szCs w:val="20"/>
                <w:color w:val="auto"/>
              </w:rPr>
            </w:pPr>
            <w:r>
              <w:rPr>
                <w:rFonts w:ascii="Arial" w:cs="Arial" w:eastAsia="Arial" w:hAnsi="Arial"/>
                <w:sz w:val="12"/>
                <w:szCs w:val="12"/>
                <w:color w:val="auto"/>
              </w:rPr>
              <w:t>Purchases of fixed maturity securities available-for-sale</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(1,583,244)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(1,942,464)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(951,281)</w:t>
            </w:r>
          </w:p>
        </w:tc>
        <w:tc>
          <w:tcPr>
            <w:tcW w:w="0" w:type="dxa"/>
            <w:vAlign w:val="bottom"/>
          </w:tcPr>
          <w:p>
            <w:pPr>
              <w:spacing w:after="0"/>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equity interest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6380" w:type="dxa"/>
            <w:vAlign w:val="bottom"/>
          </w:tcPr>
          <w:p>
            <w:pPr>
              <w:ind w:left="20"/>
              <w:spacing w:after="0"/>
              <w:rPr>
                <w:sz w:val="20"/>
                <w:szCs w:val="20"/>
                <w:color w:val="auto"/>
              </w:rPr>
            </w:pPr>
            <w:r>
              <w:rPr>
                <w:rFonts w:ascii="Arial" w:cs="Arial" w:eastAsia="Arial" w:hAnsi="Arial"/>
                <w:sz w:val="12"/>
                <w:szCs w:val="12"/>
                <w:color w:val="auto"/>
              </w:rPr>
              <w:t>Proceeds from sales of fixed maturity securities available-for-sale</w:t>
            </w:r>
          </w:p>
        </w:tc>
        <w:tc>
          <w:tcPr>
            <w:tcW w:w="38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498,811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278,482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257,710</w:t>
            </w:r>
          </w:p>
        </w:tc>
        <w:tc>
          <w:tcPr>
            <w:tcW w:w="0" w:type="dxa"/>
            <w:vAlign w:val="bottom"/>
          </w:tcPr>
          <w:p>
            <w:pPr>
              <w:spacing w:after="0"/>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Maturities of fixed maturity securities available-for-sale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712,955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527,070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359,311</w:t>
            </w:r>
          </w:p>
        </w:tc>
        <w:tc>
          <w:tcPr>
            <w:tcW w:w="0" w:type="dxa"/>
            <w:vAlign w:val="bottom"/>
          </w:tcPr>
          <w:p>
            <w:pPr>
              <w:spacing w:after="0"/>
              <w:rPr>
                <w:sz w:val="1"/>
                <w:szCs w:val="1"/>
                <w:color w:val="auto"/>
              </w:rPr>
            </w:pPr>
          </w:p>
        </w:tc>
      </w:tr>
      <w:tr>
        <w:trPr>
          <w:trHeight w:val="166"/>
        </w:trPr>
        <w:tc>
          <w:tcPr>
            <w:tcW w:w="6380" w:type="dxa"/>
            <w:vAlign w:val="bottom"/>
          </w:tcPr>
          <w:p>
            <w:pPr>
              <w:ind w:left="20"/>
              <w:spacing w:after="0"/>
              <w:rPr>
                <w:sz w:val="20"/>
                <w:szCs w:val="20"/>
                <w:color w:val="auto"/>
              </w:rPr>
            </w:pPr>
            <w:r>
              <w:rPr>
                <w:rFonts w:ascii="Arial" w:cs="Arial" w:eastAsia="Arial" w:hAnsi="Arial"/>
                <w:sz w:val="12"/>
                <w:szCs w:val="12"/>
                <w:color w:val="auto"/>
              </w:rPr>
              <w:t>Proceeds from sale of investment in unconsolidated affiliate</w:t>
            </w: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510,247</w:t>
            </w:r>
          </w:p>
        </w:tc>
        <w:tc>
          <w:tcPr>
            <w:tcW w:w="0" w:type="dxa"/>
            <w:vAlign w:val="bottom"/>
          </w:tcPr>
          <w:p>
            <w:pPr>
              <w:spacing w:after="0"/>
              <w:rPr>
                <w:sz w:val="1"/>
                <w:szCs w:val="1"/>
                <w:color w:val="auto"/>
              </w:rPr>
            </w:pPr>
          </w:p>
        </w:tc>
      </w:tr>
      <w:tr>
        <w:trPr>
          <w:trHeight w:val="15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investing activities</w:t>
            </w: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(398,782)</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(1,136,912)</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175,987</w:t>
            </w:r>
          </w:p>
        </w:tc>
        <w:tc>
          <w:tcPr>
            <w:tcW w:w="0" w:type="dxa"/>
            <w:vAlign w:val="bottom"/>
          </w:tcPr>
          <w:p>
            <w:pPr>
              <w:spacing w:after="0"/>
              <w:rPr>
                <w:sz w:val="1"/>
                <w:szCs w:val="1"/>
                <w:color w:val="auto"/>
              </w:rPr>
            </w:pPr>
          </w:p>
        </w:tc>
      </w:tr>
      <w:tr>
        <w:trPr>
          <w:trHeight w:val="146"/>
        </w:trPr>
        <w:tc>
          <w:tcPr>
            <w:tcW w:w="638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the issuance of long-term debt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737,651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Dividends paid</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(200,294)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(437,353)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(used in) financing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(200,294)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300,298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(250,000)</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(132,264)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426,007</w:t>
            </w:r>
          </w:p>
        </w:tc>
        <w:tc>
          <w:tcPr>
            <w:tcW w:w="0" w:type="dxa"/>
            <w:vAlign w:val="bottom"/>
          </w:tcPr>
          <w:p>
            <w:pPr>
              <w:spacing w:after="0"/>
              <w:rPr>
                <w:sz w:val="1"/>
                <w:szCs w:val="1"/>
                <w:color w:val="auto"/>
              </w:rPr>
            </w:pPr>
          </w:p>
        </w:tc>
      </w:tr>
      <w:tr>
        <w:trPr>
          <w:trHeight w:val="16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and cash equivalents at beginning of year</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452,794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585,058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159,051</w:t>
            </w:r>
          </w:p>
        </w:tc>
        <w:tc>
          <w:tcPr>
            <w:tcW w:w="0" w:type="dxa"/>
            <w:vAlign w:val="bottom"/>
          </w:tcPr>
          <w:p>
            <w:pPr>
              <w:spacing w:after="0"/>
              <w:rPr>
                <w:sz w:val="1"/>
                <w:szCs w:val="1"/>
                <w:color w:val="auto"/>
              </w:rPr>
            </w:pPr>
          </w:p>
        </w:tc>
      </w:tr>
      <w:tr>
        <w:trPr>
          <w:trHeight w:val="17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year</w:t>
            </w:r>
          </w:p>
        </w:tc>
        <w:tc>
          <w:tcPr>
            <w:tcW w:w="3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425,828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452,794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585,058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Supplementary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Non-cash contributions of capital from Genworth</w:t>
            </w: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5,755</w:t>
            </w:r>
          </w:p>
        </w:tc>
        <w:tc>
          <w:tcPr>
            <w:tcW w:w="0" w:type="dxa"/>
            <w:vAlign w:val="bottom"/>
          </w:tcPr>
          <w:p>
            <w:pPr>
              <w:spacing w:after="0"/>
              <w:rPr>
                <w:sz w:val="1"/>
                <w:szCs w:val="1"/>
                <w:color w:val="auto"/>
              </w:rPr>
            </w:pPr>
          </w:p>
        </w:tc>
      </w:tr>
      <w:tr>
        <w:trPr>
          <w:trHeight w:val="166"/>
        </w:trPr>
        <w:tc>
          <w:tcPr>
            <w:tcW w:w="6380" w:type="dxa"/>
            <w:vAlign w:val="bottom"/>
          </w:tcPr>
          <w:p>
            <w:pPr>
              <w:ind w:left="20"/>
              <w:spacing w:after="0"/>
              <w:rPr>
                <w:sz w:val="20"/>
                <w:szCs w:val="20"/>
                <w:color w:val="auto"/>
              </w:rPr>
            </w:pPr>
            <w:r>
              <w:rPr>
                <w:rFonts w:ascii="Arial" w:cs="Arial" w:eastAsia="Arial" w:hAnsi="Arial"/>
                <w:sz w:val="12"/>
                <w:szCs w:val="12"/>
                <w:color w:val="auto"/>
              </w:rPr>
              <w:t>Income taxes paid</w:t>
            </w: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145,951</w:t>
            </w:r>
          </w:p>
        </w:tc>
        <w:tc>
          <w:tcPr>
            <w:tcW w:w="80" w:type="dxa"/>
            <w:vAlign w:val="bottom"/>
          </w:tcPr>
          <w:p>
            <w:pPr>
              <w:spacing w:after="0"/>
              <w:rPr>
                <w:sz w:val="14"/>
                <w:szCs w:val="14"/>
                <w:color w:val="auto"/>
              </w:rPr>
            </w:pP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56,994</w:t>
            </w:r>
          </w:p>
        </w:tc>
        <w:tc>
          <w:tcPr>
            <w:tcW w:w="80" w:type="dxa"/>
            <w:vAlign w:val="bottom"/>
          </w:tcPr>
          <w:p>
            <w:pPr>
              <w:spacing w:after="0"/>
              <w:rPr>
                <w:sz w:val="14"/>
                <w:szCs w:val="14"/>
                <w:color w:val="auto"/>
              </w:rPr>
            </w:pP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166,481</w:t>
            </w:r>
          </w:p>
        </w:tc>
        <w:tc>
          <w:tcPr>
            <w:tcW w:w="0" w:type="dxa"/>
            <w:vAlign w:val="bottom"/>
          </w:tcPr>
          <w:p>
            <w:pPr>
              <w:spacing w:after="0"/>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paid</w:t>
            </w: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47,938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28" w:name="page129"/>
    <w:bookmarkEnd w:id="128"/>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hanging="478"/>
        <w:spacing w:after="0"/>
        <w:tabs>
          <w:tab w:leader="none" w:pos="4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Nature of business and organization structure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Nature of Business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Enact Holdings, Inc. (“EHI,” together with its subsidiaries, the “Company,” “we,” “us,” or “our”) (formerly known as Genworth Mortgage Holdings, Inc.) was a wholly owned subsidiary of Genworth Financial, Inc. (“Genworth” or “Parent”) since EHI’s incorporation in Delaware in 2012. On May 3, 2021, EHI amended its certificate of incorporation to change its name from Genworth Mortgage Holdings, Inc. This amendment also authorized EHI to issue 600,000,000 shares of common stock, each having a par value of $0.01 per share. Concurrently, we entered into a share exchange agreement with Genworth Holdings, Inc. (“Genworth Holdings”), pursuant to which Genworth Holdings exchanged the 100 shares of our common stock owned by it, representing all of our issued and outstanding capital stock, for 162,840,000 newly-issued shares of common stock, par value $0.01, of EHI. All of the share and per share information presented in the consolidated financial statements, notes to the consolidated financial statements and supplemental schedules to the financial statements has been adjusted to reflect the share exchange on a retroactive basis for all periods and as of all dates presented.</w:t>
      </w:r>
    </w:p>
    <w:p>
      <w:pPr>
        <w:spacing w:after="0" w:line="122"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3"/>
          <w:szCs w:val="13"/>
          <w:color w:val="auto"/>
        </w:rPr>
        <w:t>On November 29, 2019, Genworth completed a holding company reorganization whereby Genworth contributed 100% of the issued and outstanding voting securities of the Company to Genworth Holdings. Post-contribution, we were a direct, wholly owned subsidiary of Genworth Holdings, and Genworth Holdings is still a direct, wholly owned subsidiary of Genworth.</w:t>
      </w:r>
    </w:p>
    <w:p>
      <w:pPr>
        <w:spacing w:after="0" w:line="9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September 15, 2021, we priced our initial public offering (“IPO”) of common stock, which resulted in the issuance and sale of 13,310,400 shares of common stock at the IPO price of $19.00 per common share. All shares were offered by the selling stockholder, our parent company, Genworth Holdings. In addition to the shares sold in the IPO, 14,655,600 common shares were sold in a concurrent private sale (“Private Sale”) at a price per share of $17.86, which is equal to the IPO price less the underwriting discount share. Genworth Holdings also granted the underwriters a 30-day option to purchase up to an additional 1,996,560 common shares (“Over-Allotment Option”) at the IPO price less the underwriting discount. On September 16, 2021, the underwriters exercised their option to purchase all 1,996,560 common shares permitted under the terms of the underwriting agreement. The IPO, Private Sale and Over-Allotment Option (collectively the “Offering”) closed on September 20, 2021, and Genworth Holdings retained all net proceeds from the Offering. The gross proceeds of the Offering, before payment of underwriter fees and other expenses, were approximately $553 million. Costs directly related to the Offering, including underwriting fees and other expenses, were approximately $24 million.</w:t>
      </w:r>
    </w:p>
    <w:p>
      <w:pPr>
        <w:spacing w:after="0" w:line="12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29" w:name="page130"/>
    <w:bookmarkEnd w:id="129"/>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operate our business in a single segment, which is how our chief operating decision maker (who is our chief executive officer) reviews our financial performance and allocates resources. Our segment includes a run-off insurance block with reference properties in Mexico (“run-off business”), which is immaterial to our consolidated financial statements.</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in two installments in 2022. Under the terms of the secured promissory note, as amended, Genworth pledged as collateral to AXA a 19.9% security interest in our outstanding common stock. On March 3, 2021, Genworth repaid the first installment payment originally due to AXA in June 2022 and a portion of the second installment payment due to AXA in September 2022 from cash proceeds received from the sale of Genworth Mortgage Insurance Australia Limited. On September 21, 2021, Genworth used a portion of the net proceeds from our IPO to repay the remaining outstanding balance of the secured promissory note of approximately £215 million ($296 million), excluding future claims still being processed. Following the full repayment of the secured promissory note, AXA released its 19.9% security interest in our outstanding common shares.</w:t>
      </w:r>
    </w:p>
    <w:p>
      <w:pPr>
        <w:spacing w:after="0" w:line="106" w:lineRule="exact"/>
        <w:rPr>
          <w:sz w:val="20"/>
          <w:szCs w:val="20"/>
          <w:color w:val="auto"/>
        </w:rPr>
      </w:pPr>
    </w:p>
    <w:p>
      <w:pPr>
        <w:ind w:left="480" w:hanging="478"/>
        <w:spacing w:after="0"/>
        <w:tabs>
          <w:tab w:leader="none" w:pos="4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consolidated financial statements have been prepared on the basis of United States generally accepted accounting principles (“U.S. GAAP”). Preparing financial statements in conformity with U.S. GAAP requires us to make estimates and assumptions that affect reported amounts and related disclosures. Actual results could differ from those estimates. Certain prior year amounts have been reclassified to conform to the current year presentation. Potential impacts, risks and uncertainties of the coronavirus pandemic (“COVID-19”) may include declines in investment valuations and impairments, deferred acquisition cost (“DAC”) or intangible assets impairments or the acceleration of amortization, deferred tax recoverability and increases to loss reserves, among other matters.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consolidated financial statements have been prepared on a standalone basis and were derived from the consolidated financial statements and accounting records of Genworth. The consolidated financial statements include the accounts of EHI, its subsidiaries and those entities required to be consolidated under the applicable accounting standards. All intercompany transactions and balances have been eliminated.</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consolidated financial statements include allocations of certain Genworth expenses.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 effort or other relevant measures. Expenses allocated to us are not necessarily representative of the amounts that would have been incurred had we operated independently of Genworth. See Note 11 for further information regarding the allocation of Genworth expenses.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Premiums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0" w:name="page131"/>
    <w:bookmarkEnd w:id="130"/>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accounting policy for unearned premiums. In addition, we refund post-delinquent premiums received to the insured party if the delinquent loan goes to claim. We record a liability for premiums received on the delinquent loans consistent with our expectations of ultimate claim rates.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Net Investment Income and Net Investment Gains and Losses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Income</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Investments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investment portfolio is managed by Genworth. We conduct the purchases, sales and related investment management decisions with the advice of Genworth. As part of these services, we are charged an investment management fee, as agreed between both parties. These fees are charged to investment expense and are included in net investment income in the consolidated statements of income. Refer to Note 11 for further details.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Fixed maturity securities classified as available-for-sale are reported in our consolidated balance sheets at fair value. Our portfolio of fixed maturity securities comprises primarily investment grade securities. Changes in the fair value of available-for-sale fixed maturity securities, net of deferred income taxes, are reflected as unrealized investment gains or losses in a separate component of accumulated other comprehensive income (“OCI”).</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Allowance for Credit Losses and Impairments on Available-For-Sale Securities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January 1, 2021, we adopted new accounting guidance related to accounting for credit losses on financial instruments. The guidance requires entities to recognize an allowance equal to its estimate of lifetime expected credit losses and applies to most debt instruments not measured at fair value.</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new guidance retains most of the existing impairment guidance for available-for-sale fixed maturity securities but amends the presentation of credit losses to be presented as an allowance as opposed to a write-down and permits the reversal of credit losses when reassessing changes in the credit losses each reporting period. Available-for-sale fixed maturity securities in an unrealized loss position are evaluated to determine whether the decline in fair value is related to credit losses or other factors. In making this assessment, we consider the extent to which fair value is less than amortized cost, any changes to the rating of the security by a rating agency/agencies and adverse conditions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1" w:name="page132"/>
    <w:bookmarkEnd w:id="131"/>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related to the security, among other factors. If a credit loss exists, the present value of cash flows expected to be collected from the security are compared to the amortized cost basis of the security. If the present value of cash flows expected to be collected is less than the amortized cost basis, an allowance for credit losses is recorded, limited by the amount that the fair value is less than the amortized cost basis. Estimating the cash flows expected to be collected is a quantitative and qualitative process that incorporates information received from third-party sources along with internal assumptions and judgments. When developing the estimate of cash flows expected to be collected, we utilize an analytical model that provides for various loss scenarios and consider the industry sector, current levels of subordination, geographic location and other relevant characteristics of the security or underlying assets, as well as reasonable and supportable forecasts. Losses are written off against the allowance when deemed uncollectible or when we intend to sell or expect we will be required to sell a security prior to recovering our amortized cost. We exclude accrued interest related to available-for-sale fixed maturity securities from the estimate of allowance for credit losses. Accrued interest is included in accrued investment income in our condensed consolidated balance sheet. We do not measure an allowance for credit losses related to accrued interest as uncollectible accrued interest related to our available-for-sale fixed maturity securities is written off after 90 days and once collectability is determined to be uncertain and not probable. Amounts written off related to accrued interest are recorded as a credit loss expense included in net investment gains (losses). We adopted the guidance related to our available-for-sale fixed maturity securities using the modified retrospective method, which did not have a significant impact on our consolidated financial statements.</w:t>
      </w:r>
    </w:p>
    <w:p>
      <w:pPr>
        <w:spacing w:after="0" w:line="121"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Prior to the adoption of new accounting guidance related to credit losses on financial instruments on January 1, 2021, we evaluated securities in an unrealized loss position for other-than-temporary impairment as of each balance sheet date. For debt securities, we considered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utilized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was a quantitative and qualitative process that incorporates information received from third-party sources along with certain internal assumptions and judgments regarding the future performance of the underlying collateral. Where possible, this data is benchmarked against third-party sources.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recognized other-than-temporary impairments on debt securities in an unrealized loss position when one of the following circumstances existed:</w:t>
      </w:r>
    </w:p>
    <w:p>
      <w:pPr>
        <w:spacing w:after="0" w:line="126" w:lineRule="exact"/>
        <w:rPr>
          <w:sz w:val="20"/>
          <w:szCs w:val="20"/>
          <w:color w:val="auto"/>
        </w:rPr>
      </w:pPr>
    </w:p>
    <w:p>
      <w:pPr>
        <w:ind w:left="500" w:hanging="252"/>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did not expect full recovery of our amortized cost basis when due,</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present value of cash flows expected to be collected was less than our amortized cost basis,</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intended to sell a security, or</w:t>
      </w:r>
    </w:p>
    <w:p>
      <w:pPr>
        <w:spacing w:after="0" w:line="126" w:lineRule="exact"/>
        <w:rPr>
          <w:rFonts w:ascii="Arial" w:cs="Arial" w:eastAsia="Arial" w:hAnsi="Arial"/>
          <w:sz w:val="14"/>
          <w:szCs w:val="14"/>
          <w:color w:val="auto"/>
        </w:rPr>
      </w:pPr>
    </w:p>
    <w:p>
      <w:pPr>
        <w:ind w:left="500" w:hanging="252"/>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it was more likely than not that we would be required to sell a security prior to recovery.</w:t>
      </w:r>
    </w:p>
    <w:p>
      <w:pPr>
        <w:spacing w:after="0" w:line="126"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Total other-than-temporary impairments that emerged in the period were calculated as the difference between the amortized cost and fair value. For other-than-temporarily impaired securities where we did not intend to sell the security and it was not more likely than not that we would be required to sell the security prior to recovery, total other-than-temporary impairments were adjusted by the portion of other-than-temporary impairments recognized in OCI (“non-credit”). Net other-than-temporary impairments recorded in net income (loss) represented the credit loss on the other-than-temporarily impaired securities with the offset recognized as an adjustment to the amortized cost to determine the new amortized cost basis of the securities.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securities that were deemed to be other-than-temporarily impaired and a non-credit loss was recorded in OCI, the amount recorded as an unrealized gain (loss) represented the difference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2" w:name="page133"/>
    <w:bookmarkEnd w:id="132"/>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current fair value and the new amortized cost for each period presented. The unrealized gain (loss) on an other-than-temporarily impaired security was recorded as a separate component in OCI until the security was sold or until we recorded an other-than-temporary impairment where we intended to sell the security or were be required to sell the security prior to recovery.</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To estimate the amount of other-than-temporary impairment attributed to credit losses on debt securities where we did not intend to sell the security and it was not more likely than not that we would be required to sell the security prior to recovery, we determined our best estimate of the present value of the cash flows expected to be collected from a security using the effective yield on the security prior to recording any other-than-temporary impairment. If the present value of the discounted cash flows was lower than the amortized cost of the security, the difference between the present value and amortized cost represented the credit loss associated with the security with the remaining difference between fair value and amortized cost recorded as a non-credit other-than-temporary impairment in OCI.</w:t>
      </w:r>
    </w:p>
    <w:p>
      <w:pPr>
        <w:spacing w:after="0" w:line="122"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3"/>
          <w:szCs w:val="13"/>
          <w:color w:val="auto"/>
        </w:rPr>
        <w:t>While the other-than-temporary impairment model for debt securities generally included fixed maturity securities, there were certain hybrid securities that are classified as fixed maturity securities where the application of a debt impairment model depended on whether there has been any evidence of deterioration in credit of the issuer, such as a downgrade to below investment grade. Under certain circumstances, evidence of deterioration in credit of the issuer may have resulted in the application of the equity securities impairment model where we recognized an impairment charge in the period in which we determined that the security would not recover to book value within a reasonable period of time. We determined what constitutes a reasonable period on a security-by-security basis based upon consideration of all the evidence available to us, including the magnitude of an unrealized loss and its duration. In any event, this period did not exceed 15 months. We measured other-than-temporary impairments based upon the difference between the amortized cost of a security and its fair value.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Equity Method Investments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Investments in which we are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Equity method investments not carried at fair value, which are not material as of December 31, 2021, are recorded in other assets on the consolidated balance sheets with their related income recorded within other income in the consolidated statements of income. See Note 3 for details.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Fair value is defined as the price that would be received to sell an asset or paid to transfer a liability in an orderly transaction between market participants at the measurement date.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We have fixed maturity securities, which are carried at fair value, and previously had an investment in an unconsolidated affiliate for which the fair value option had been elected.</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All assets and liabilities carried at fair value are classified and disclosed in one of the following three categories:</w:t>
      </w:r>
    </w:p>
    <w:p>
      <w:pPr>
        <w:spacing w:after="0" w:line="126" w:lineRule="exact"/>
        <w:rPr>
          <w:sz w:val="20"/>
          <w:szCs w:val="20"/>
          <w:color w:val="auto"/>
        </w:rPr>
      </w:pPr>
    </w:p>
    <w:p>
      <w:pPr>
        <w:ind w:left="500" w:hanging="252"/>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3" w:name="page134"/>
    <w:bookmarkEnd w:id="133"/>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55" w:lineRule="exact"/>
        <w:rPr>
          <w:sz w:val="20"/>
          <w:szCs w:val="20"/>
          <w:color w:val="auto"/>
        </w:rPr>
      </w:pPr>
    </w:p>
    <w:p>
      <w:pPr>
        <w:ind w:left="500" w:hanging="252"/>
        <w:spacing w:after="0" w:line="248" w:lineRule="auto"/>
        <w:tabs>
          <w:tab w:leader="none" w:pos="497" w:val="left"/>
        </w:tabs>
        <w:numPr>
          <w:ilvl w:val="0"/>
          <w:numId w:val="62"/>
        </w:numPr>
        <w:rPr>
          <w:rFonts w:ascii="Arial" w:cs="Arial" w:eastAsia="Arial" w:hAnsi="Arial"/>
          <w:sz w:val="14"/>
          <w:szCs w:val="14"/>
          <w:color w:val="auto"/>
        </w:rPr>
      </w:pPr>
      <w:r>
        <w:rPr>
          <w:rFonts w:ascii="Arial" w:cs="Arial" w:eastAsia="Arial" w:hAnsi="Arial"/>
          <w:sz w:val="14"/>
          <w:szCs w:val="14"/>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118" w:lineRule="exact"/>
        <w:rPr>
          <w:rFonts w:ascii="Arial" w:cs="Arial" w:eastAsia="Arial" w:hAnsi="Arial"/>
          <w:sz w:val="14"/>
          <w:szCs w:val="14"/>
          <w:color w:val="auto"/>
        </w:rPr>
      </w:pPr>
    </w:p>
    <w:p>
      <w:pPr>
        <w:ind w:left="500" w:hanging="252"/>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Level 3—Instruments for which significant value drivers are unobservable.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Level 1 primarily consists of financial instruments whose value is based on quoted market prices such as equity securities and actively traded mutual fund investments.</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As of each reporting period, all assets and liabilities recorded at fair value are classified in their entirety based on the lowest level of input that is significant to the fair value measurement. Our 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Certificates of deposit, money market funds and other highly liquid investments with original maturities of three months or less are considered cash equivalents in the consolidated balance sheets and consolidated statements of cash flows. Items with maturities greater than three months but less than one year at the time of acquisition are generally considered short-term investments.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Accrued Investment Income</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Accrued investment income consists primarily of interest.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Deferred Acquisition Costs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Judgment is used in evaluating these estimates and the assumptions upon which they are based. The use of different assumptions may have a significant effect on the amortization of deferred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4" w:name="page135"/>
    <w:bookmarkEnd w:id="134"/>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Deferred acquisition costs were $27.2 million and $28.9 million as of December 31, 2021 and 2020, respectively. Amortization of DAC was $14.7 million, $14.2 million and $8.4 million for the years ended December 31, 2021, 2020 and 2019, respectively, and was included within amortization of deferred acquisition costs and intangibles in the consolidated statements of income.</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Premium Deficiency Reserves (“PDR”)</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We do not utilize anticipated investment income on our assets when evaluating the need for a PDR. The calculation of premium deficiency reserves requires the use of significant judgments and estimates to determine the present value of future premium and present value of expected losses and expenses in our business. The differences between the actual results and our estimates could vary materially. We completed a PDR analysis as of December 31, 2021 and 2020, and determined that no PDR was required.</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Reinsurance</w:t>
      </w:r>
    </w:p>
    <w:p>
      <w:pPr>
        <w:spacing w:after="0" w:line="142"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3"/>
          <w:szCs w:val="13"/>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Loss Reserves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Loss reserves represent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5" w:name="page136"/>
    <w:bookmarkEnd w:id="135"/>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likelihood of the associated claim loss increases, the amount of the loss reserves associated with the potential claims may also increase.</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Unearned Premiums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Our most recent review resulted in an increase in earned premiums of $13.7 million for the year ended December 31, 2019.</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Certain of our employees participate in Genworth’s incentive plans, under which our employees may be granted share-based awards, including stock options. Compensation expense is recognized based on a grant date fair value, adjusted for expected forfeitures, through the income statement over the respective vesting period of the awards. See Note 10 for additional information related to share-based compensation.</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Employee Benefit Plans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We account for these employee benefit plans as multiemployer benefit plans. Accordingly, we do not record an asset or liability to recognize the funded status of the employee benefit plans. Expenses related to employee benefits are included within acquisition and operating expenses, net of deferrals in the consolidated statements of income. See Note 9 for additional information related to employee benefits.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Income Taxes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6" w:name="page137"/>
    <w:bookmarkEnd w:id="136"/>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have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8 for further details.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involvement with VIEs consists of excess of loss reinsurance agreements with special purpose insurers domiciled in Bermuda. These entities finance the reinsurance coverage by issuing mortgage insurance-linked notes to unaffiliated investors. The assets of the VIEs are deposited in reinsurance trusts for our benefit that will be the source of reinsurance claim payments. Our involvement with these VIEs does not result in the unilateral power to direct the activities that most significantly affect the VIEs’ economic performance or result in the obligation to absorb losses or the right to receive benefits. Accordingly, consolidation of the VIEs is not required. See Note 6 for details.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Leases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the accounting guidance, and as a result, non-lease components are included in the calculation of our lease liability as opposed to being separated and accounted for as consideration under revenue recognition accounting. The right-of-use asset and the lease liability are included in other assets and other liabilities, respectively. Our remaining lease terms ranged from less than 1 years to 6 years and had a weighted-average remaining lease term of 6.0 years and 7.0 years as of December 31, 2021, and 2020, respectively. The implicit rate of our lease agreements was not readily determinable; therefore, we utilized our incremental borrowing rate to discount future lease payments. The weighted-average discount rate was 7.1% as of December 31, 2021 and 2020.</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Accounting Pronouncements Adopted</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Credit Losses</w:t>
      </w:r>
    </w:p>
    <w:p>
      <w:pPr>
        <w:spacing w:after="0" w:line="14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January 1, 2021, we early adopted new accounting guidance related to accounting for credit losses on financial instruments. The guidance requires entities to recognize an allowance equal to its estimate of lifetime expected credit losses and applies to most debt instruments not measured at fair value.</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Discussion of adoption of this guidance in relation to our portfolio of fixed maturity securities is included in the discussion of the allowance for credit losses and impairments of available for sale securities, above.</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new guidance further requires that expected credit losses on premiums receivable are measured in accordance with the credit loss requirements for financial instruments measured at amortized cost.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7" w:name="page138"/>
    <w:bookmarkEnd w:id="137"/>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to the short-term nature of our premiums receivable, we consider lifetime expected credit losses on premiums receivable to be consistent with our current allowance and as a result the new accounting guidance did not have an impact on premiums receivable upon adoption. The allowance for credit losses on premiums receivable is not material.</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new guidance also requires the recognition of an allowance for expected credit losses as a liability in our consolidated balance sheet for off-balance sheet credit exposures, including private placement investments. We adopted the guidance related to our off-balance sheet credit exposures using the modified retrospective method, which did not have an impact on our consolidated financial statements.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Fair Value Disclosures</w:t>
      </w:r>
    </w:p>
    <w:p>
      <w:pPr>
        <w:spacing w:after="0" w:line="14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 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consolidated financial statements but impacted our fair value disclosures.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Reference Rate Reform</w:t>
      </w:r>
    </w:p>
    <w:p>
      <w:pPr>
        <w:spacing w:after="0" w:line="14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In March 2020 and January 2021, the FASB issued new accounting guidance related to reference rate reform, which was effective for us on January 1, 2020. The guidance provides temporary guidance to ease the potential burden in accounting for, or recognizing the effects of, reference rate reform, which includes the transition away from the London Interbank Offered Rate (“LIBOR”) and other interbank offered rates to alternative reference rates, such as the Secured Overnight Financing Rate. This new guidance provides optional practical expedients and exceptions for applying generally accepted accounting principles to investments, derivatives or other transactions affected by reference rate reform. In addition to the optional practical expedients, the guidance includes a general principle that 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consolidated financial statements or disclosures. However, the amendments in this guidance may be elected over time through December 31, 2022, as reference rate reform activities occur and therefore, this guidance may impact our procedures as we implement measures to transition away from LIBOR.</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Income Taxes</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early adopted this new accounting guidance on January 1, 2021, using the retrospective method or modified retrospective method for certain changes and prospective method for all other changes, which did not have a significant impact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8" w:name="page139"/>
    <w:bookmarkEnd w:id="138"/>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Accounting Pronouncements Not Yet Adopted</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 significant new pronouncements.</w:t>
      </w:r>
    </w:p>
    <w:p>
      <w:pPr>
        <w:spacing w:after="0" w:line="110"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b w:val="1"/>
          <w:bCs w:val="1"/>
          <w:color w:val="auto"/>
        </w:rPr>
        <w:t>Investments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Sources of net investment income were as follows for the year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146,587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117,407</w:t>
            </w:r>
          </w:p>
        </w:tc>
        <w:tc>
          <w:tcPr>
            <w:tcW w:w="0" w:type="dxa"/>
            <w:vAlign w:val="bottom"/>
          </w:tcPr>
          <w:p>
            <w:pPr>
              <w:spacing w:after="0"/>
              <w:rPr>
                <w:sz w:val="1"/>
                <w:szCs w:val="1"/>
                <w:color w:val="auto"/>
              </w:rPr>
            </w:pP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investment income before expenses and fees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146,661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121,288</w:t>
            </w:r>
          </w:p>
        </w:tc>
        <w:tc>
          <w:tcPr>
            <w:tcW w:w="0" w:type="dxa"/>
            <w:vAlign w:val="bottom"/>
          </w:tcPr>
          <w:p>
            <w:pPr>
              <w:spacing w:after="0"/>
              <w:rPr>
                <w:sz w:val="1"/>
                <w:szCs w:val="1"/>
                <w:color w:val="auto"/>
              </w:rPr>
            </w:pP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expenses and fees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(4,361)</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141,189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132,843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116,927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b w:val="1"/>
                <w:bCs w:val="1"/>
                <w:i w:val="1"/>
                <w:iCs w:val="1"/>
                <w:color w:val="auto"/>
              </w:rPr>
              <w:t>Net Investment Gains (Losses)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380" w:type="dxa"/>
            <w:vAlign w:val="bottom"/>
          </w:tcPr>
          <w:p>
            <w:pPr>
              <w:ind w:left="240"/>
              <w:spacing w:after="0"/>
              <w:rPr>
                <w:sz w:val="20"/>
                <w:szCs w:val="20"/>
                <w:color w:val="auto"/>
              </w:rPr>
            </w:pPr>
            <w:r>
              <w:rPr>
                <w:rFonts w:ascii="Arial" w:cs="Arial" w:eastAsia="Arial" w:hAnsi="Arial"/>
                <w:sz w:val="14"/>
                <w:szCs w:val="14"/>
                <w:color w:val="auto"/>
              </w:rPr>
              <w:t>The following table sets forth net investment gains (losses) for the years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54"/>
        </w:trPr>
        <w:tc>
          <w:tcPr>
            <w:tcW w:w="6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Fixed maturity securities available-for-sale: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Gross realized gains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2,077</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1,884</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74"/>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realized losses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5"/>
        </w:trPr>
        <w:tc>
          <w:tcPr>
            <w:tcW w:w="6380" w:type="dxa"/>
            <w:vAlign w:val="bottom"/>
          </w:tcPr>
          <w:p>
            <w:pPr>
              <w:ind w:left="100"/>
              <w:spacing w:after="0"/>
              <w:rPr>
                <w:sz w:val="20"/>
                <w:szCs w:val="20"/>
                <w:color w:val="auto"/>
              </w:rPr>
            </w:pPr>
            <w:r>
              <w:rPr>
                <w:rFonts w:ascii="Arial" w:cs="Arial" w:eastAsia="Arial" w:hAnsi="Arial"/>
                <w:sz w:val="14"/>
                <w:szCs w:val="14"/>
                <w:color w:val="auto"/>
              </w:rPr>
              <w:t>Net realized gains (losses)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Other-than-temporary impairments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Change in allowance for credit losses on fixed maturity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investment gains (losses)</w:t>
            </w: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Unrealized Investment Gains and Losses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unrealized gains and losses on available-for-sale securities reflected as a separate component of accumulated other comprehensive income (loss) were as follows as of</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2019</w:t>
            </w:r>
          </w:p>
        </w:tc>
      </w:tr>
      <w:tr>
        <w:trPr>
          <w:trHeight w:val="154"/>
        </w:trPr>
        <w:tc>
          <w:tcPr>
            <w:tcW w:w="6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unrealized gains (losses) on investment securities: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106,165</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264,680</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121,085</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(56,302)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(27,654)</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Net unrealized investment gains (losses)</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83,588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208,378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93,431</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39" w:name="page140"/>
    <w:bookmarkEnd w:id="139"/>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change in net unrealized gains (losses) on available-for-sale securities reported in accumulated other comprehensive income (loss) was as follows as of and for the years ended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208,378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93,431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(26,522)</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i w:val="1"/>
                <w:iCs w:val="1"/>
                <w:color w:val="auto"/>
              </w:rPr>
              <w:t>Cumulative effect of change in accounting, net of taxes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Unrealized gains (losses) arising during the period: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Unrealized gains (losses) on investment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(158,665)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140,253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153,062</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33,757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(27,946)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(32,557)</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Change in unrealized gains (losses) on investment securities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(124,908)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112,307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120,505</w:t>
            </w:r>
          </w:p>
        </w:tc>
      </w:tr>
      <w:tr>
        <w:trPr>
          <w:trHeight w:val="143"/>
        </w:trPr>
        <w:tc>
          <w:tcPr>
            <w:tcW w:w="6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Reclassification adjustments to net investment (gains) losses, net of taxes of $43, $(702) and $147,</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4"/>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r>
      <w:tr>
        <w:trPr>
          <w:trHeight w:val="16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net unrealized investment gains (losses)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(125,071)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119,953</w:t>
            </w: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83,588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208,378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93,431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Amounts reclassified out of accumulated other comprehensive income (loss) to net investment gains (losses) include realized gains (losses) on sales of securities, which are determined on a specific identification basis.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Fixed Maturity Securities Available-For-Sale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amortized cost, gross unrealized gains (losses) and fair value of our fixed maturity securities classified as available-for-sale were as follows as of December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218"/>
              <w:spacing w:after="0"/>
              <w:rPr>
                <w:sz w:val="20"/>
                <w:szCs w:val="20"/>
                <w:color w:val="auto"/>
              </w:rPr>
            </w:pPr>
            <w:r>
              <w:rPr>
                <w:rFonts w:ascii="Arial" w:cs="Arial" w:eastAsia="Arial" w:hAnsi="Arial"/>
                <w:sz w:val="14"/>
                <w:szCs w:val="14"/>
                <w:b w:val="1"/>
                <w:bCs w:val="1"/>
                <w:color w:val="auto"/>
                <w:w w:val="96"/>
              </w:rPr>
              <w:t>2021</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Amortized</w:t>
            </w:r>
          </w:p>
        </w:tc>
        <w:tc>
          <w:tcPr>
            <w:tcW w:w="13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Gross unrealized Gains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Gross unrealized losses</w:t>
            </w:r>
          </w:p>
        </w:tc>
        <w:tc>
          <w:tcPr>
            <w:tcW w:w="320" w:type="dxa"/>
            <w:vAlign w:val="bottom"/>
          </w:tcPr>
          <w:p>
            <w:pPr>
              <w:spacing w:after="0"/>
              <w:rPr>
                <w:sz w:val="24"/>
                <w:szCs w:val="24"/>
                <w:color w:val="auto"/>
              </w:rPr>
            </w:pPr>
          </w:p>
        </w:tc>
        <w:tc>
          <w:tcPr>
            <w:tcW w:w="1280" w:type="dxa"/>
            <w:vAlign w:val="bottom"/>
            <w:vMerge w:val="restart"/>
          </w:tcPr>
          <w:p>
            <w:pPr>
              <w:jc w:val="right"/>
              <w:ind w:right="47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33"/>
        </w:trPr>
        <w:tc>
          <w:tcPr>
            <w:tcW w:w="536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cost</w:t>
            </w:r>
          </w:p>
        </w:tc>
        <w:tc>
          <w:tcPr>
            <w:tcW w:w="8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agencies and GSEs</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56,547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620" w:type="dxa"/>
            <w:vAlign w:val="bottom"/>
            <w:gridSpan w:val="3"/>
            <w:shd w:val="clear" w:color="auto" w:fill="CCEEFF"/>
          </w:tcPr>
          <w:p>
            <w:pPr>
              <w:jc w:val="center"/>
              <w:ind w:right="23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58,408</w:t>
            </w:r>
          </w:p>
        </w:tc>
        <w:tc>
          <w:tcPr>
            <w:tcW w:w="0" w:type="dxa"/>
            <w:vAlign w:val="bottom"/>
          </w:tcPr>
          <w:p>
            <w:pPr>
              <w:spacing w:after="0"/>
              <w:rPr>
                <w:sz w:val="1"/>
                <w:szCs w:val="1"/>
                <w:color w:val="auto"/>
              </w:rPr>
            </w:pPr>
          </w:p>
        </w:tc>
      </w:tr>
      <w:tr>
        <w:trPr>
          <w:trHeight w:val="174"/>
        </w:trPr>
        <w:tc>
          <w:tcPr>
            <w:tcW w:w="5360" w:type="dxa"/>
            <w:vAlign w:val="bottom"/>
          </w:tcPr>
          <w:p>
            <w:pPr>
              <w:ind w:left="20"/>
              <w:spacing w:after="0"/>
              <w:rPr>
                <w:sz w:val="20"/>
                <w:szCs w:val="20"/>
                <w:color w:val="auto"/>
              </w:rPr>
            </w:pPr>
            <w:r>
              <w:rPr>
                <w:rFonts w:ascii="Arial" w:cs="Arial" w:eastAsia="Arial" w:hAnsi="Arial"/>
                <w:sz w:val="14"/>
                <w:szCs w:val="14"/>
                <w:color w:val="auto"/>
              </w:rPr>
              <w:t>State and political subdivisions</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531,927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538,453</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government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22,416</w:t>
            </w:r>
          </w:p>
        </w:tc>
        <w:tc>
          <w:tcPr>
            <w:tcW w:w="0" w:type="dxa"/>
            <w:vAlign w:val="bottom"/>
          </w:tcPr>
          <w:p>
            <w:pPr>
              <w:spacing w:after="0"/>
              <w:rPr>
                <w:sz w:val="1"/>
                <w:szCs w:val="1"/>
                <w:color w:val="auto"/>
              </w:rPr>
            </w:pPr>
          </w:p>
        </w:tc>
      </w:tr>
      <w:tr>
        <w:trPr>
          <w:trHeight w:val="174"/>
        </w:trPr>
        <w:tc>
          <w:tcPr>
            <w:tcW w:w="536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2,863,100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98,293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(16,090)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2,945,303</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corporate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652,503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666,594</w:t>
            </w:r>
          </w:p>
        </w:tc>
        <w:tc>
          <w:tcPr>
            <w:tcW w:w="0" w:type="dxa"/>
            <w:vAlign w:val="bottom"/>
          </w:tcPr>
          <w:p>
            <w:pPr>
              <w:spacing w:after="0"/>
              <w:rPr>
                <w:sz w:val="1"/>
                <w:szCs w:val="1"/>
                <w:color w:val="auto"/>
              </w:rPr>
            </w:pPr>
          </w:p>
        </w:tc>
      </w:tr>
      <w:tr>
        <w:trPr>
          <w:trHeight w:val="174"/>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asset-backed</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1,033,739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1,035,165</w:t>
            </w: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fixed maturity securities available-for-sale</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5,160,174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135,931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center"/>
              <w:ind w:right="35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(29,766)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5,266,339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0" w:name="page141"/>
    <w:bookmarkEnd w:id="140"/>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5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0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Amortized</w:t>
            </w:r>
          </w:p>
        </w:tc>
        <w:tc>
          <w:tcPr>
            <w:tcW w:w="13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Gross unrealized Gains</w:t>
            </w:r>
          </w:p>
        </w:tc>
        <w:tc>
          <w:tcPr>
            <w:tcW w:w="80" w:type="dxa"/>
            <w:vAlign w:val="bottom"/>
            <w:vMerge w:val="restart"/>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9"/>
              </w:rPr>
              <w:t>Gross unrealized losses</w:t>
            </w:r>
          </w:p>
        </w:tc>
        <w:tc>
          <w:tcPr>
            <w:tcW w:w="8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ind w:right="41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33"/>
        </w:trPr>
        <w:tc>
          <w:tcPr>
            <w:tcW w:w="540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cost</w:t>
            </w:r>
          </w:p>
        </w:tc>
        <w:tc>
          <w:tcPr>
            <w:tcW w:w="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agencies and GSEs</w:t>
            </w: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134,215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138,224</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172,631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14,749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187,377</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government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2,695,009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194,961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2,888,625</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corporate</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578,295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607,669</w:t>
            </w:r>
          </w:p>
        </w:tc>
        <w:tc>
          <w:tcPr>
            <w:tcW w:w="0" w:type="dxa"/>
            <w:vAlign w:val="bottom"/>
          </w:tcPr>
          <w:p>
            <w:pPr>
              <w:spacing w:after="0"/>
              <w:rPr>
                <w:sz w:val="1"/>
                <w:szCs w:val="1"/>
                <w:color w:val="auto"/>
              </w:rPr>
            </w:pPr>
          </w:p>
        </w:tc>
      </w:tr>
      <w:tr>
        <w:trPr>
          <w:trHeight w:val="174"/>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asset-backed</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1,172,174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1,193,670</w:t>
            </w: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fixed maturity securities available-for-sale</w:t>
            </w: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4,781,916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269,239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5,046,596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Gross Unrealized Losses and Fair Values of Fixed Maturity Securities Available-For-Sale</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following tables present the gross unrealized losses and fair values of our fixed maturity securities, aggregated by investment type and length of time that individual fixed maturity securities have been in a continuous unrealized loss position, as of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9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8"/>
                <w:szCs w:val="8"/>
                <w:b w:val="1"/>
                <w:bCs w:val="1"/>
                <w:color w:val="auto"/>
              </w:rPr>
              <w:t>Less than 12 months</w:t>
            </w: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8"/>
                <w:szCs w:val="8"/>
                <w:b w:val="1"/>
                <w:bCs w:val="1"/>
                <w:color w:val="auto"/>
              </w:rPr>
              <w:t>12 months or more</w:t>
            </w: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ind w:left="200"/>
              <w:spacing w:after="0"/>
              <w:rPr>
                <w:sz w:val="20"/>
                <w:szCs w:val="20"/>
                <w:color w:val="auto"/>
              </w:rPr>
            </w:pPr>
            <w:r>
              <w:rPr>
                <w:rFonts w:ascii="Arial" w:cs="Arial" w:eastAsia="Arial" w:hAnsi="Arial"/>
                <w:sz w:val="8"/>
                <w:szCs w:val="8"/>
                <w:b w:val="1"/>
                <w:bCs w:val="1"/>
                <w:color w:val="auto"/>
              </w:rPr>
              <w:t>Total</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60" w:type="dxa"/>
            <w:vAlign w:val="bottom"/>
            <w:vMerge w:val="restart"/>
          </w:tcPr>
          <w:p>
            <w:pPr>
              <w:ind w:left="20"/>
              <w:spacing w:after="0"/>
              <w:rPr>
                <w:sz w:val="20"/>
                <w:szCs w:val="20"/>
                <w:color w:val="auto"/>
              </w:rPr>
            </w:pPr>
            <w:r>
              <w:rPr>
                <w:rFonts w:ascii="Arial" w:cs="Arial" w:eastAsia="Arial" w:hAnsi="Arial"/>
                <w:sz w:val="8"/>
                <w:szCs w:val="8"/>
                <w:b w:val="1"/>
                <w:bCs w:val="1"/>
                <w:color w:val="auto"/>
              </w:rPr>
              <w:t>As of December 31, 2021</w:t>
            </w:r>
          </w:p>
        </w:tc>
        <w:tc>
          <w:tcPr>
            <w:tcW w:w="220" w:type="dxa"/>
            <w:vAlign w:val="bottom"/>
          </w:tcPr>
          <w:p>
            <w:pPr>
              <w:spacing w:after="0"/>
              <w:rPr>
                <w:sz w:val="7"/>
                <w:szCs w:val="7"/>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5"/>
              </w:rPr>
              <w:t>Fair</w:t>
            </w:r>
          </w:p>
        </w:tc>
        <w:tc>
          <w:tcPr>
            <w:tcW w:w="180" w:type="dxa"/>
            <w:vAlign w:val="bottom"/>
          </w:tcPr>
          <w:p>
            <w:pPr>
              <w:spacing w:after="0"/>
              <w:rPr>
                <w:sz w:val="7"/>
                <w:szCs w:val="7"/>
                <w:color w:val="auto"/>
              </w:rPr>
            </w:pPr>
          </w:p>
        </w:tc>
        <w:tc>
          <w:tcPr>
            <w:tcW w:w="860" w:type="dxa"/>
            <w:vAlign w:val="bottom"/>
            <w:gridSpan w:val="2"/>
          </w:tcPr>
          <w:p>
            <w:pPr>
              <w:jc w:val="center"/>
              <w:ind w:right="260"/>
              <w:spacing w:after="0" w:line="81" w:lineRule="exact"/>
              <w:rPr>
                <w:sz w:val="20"/>
                <w:szCs w:val="20"/>
                <w:color w:val="auto"/>
              </w:rPr>
            </w:pPr>
            <w:r>
              <w:rPr>
                <w:rFonts w:ascii="Arial" w:cs="Arial" w:eastAsia="Arial" w:hAnsi="Arial"/>
                <w:sz w:val="8"/>
                <w:szCs w:val="8"/>
                <w:b w:val="1"/>
                <w:bCs w:val="1"/>
                <w:color w:val="auto"/>
              </w:rPr>
              <w:t>Gross</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99"/>
              </w:rPr>
              <w:t>Number of</w:t>
            </w:r>
          </w:p>
        </w:tc>
        <w:tc>
          <w:tcPr>
            <w:tcW w:w="220" w:type="dxa"/>
            <w:vAlign w:val="bottom"/>
          </w:tcPr>
          <w:p>
            <w:pPr>
              <w:spacing w:after="0"/>
              <w:rPr>
                <w:sz w:val="7"/>
                <w:szCs w:val="7"/>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rPr>
              <w:t>Fair</w:t>
            </w:r>
          </w:p>
        </w:tc>
        <w:tc>
          <w:tcPr>
            <w:tcW w:w="80" w:type="dxa"/>
            <w:vAlign w:val="bottom"/>
          </w:tcPr>
          <w:p>
            <w:pPr>
              <w:spacing w:after="0"/>
              <w:rPr>
                <w:sz w:val="7"/>
                <w:szCs w:val="7"/>
                <w:color w:val="auto"/>
              </w:rPr>
            </w:pPr>
          </w:p>
        </w:tc>
        <w:tc>
          <w:tcPr>
            <w:tcW w:w="960" w:type="dxa"/>
            <w:vAlign w:val="bottom"/>
            <w:gridSpan w:val="2"/>
          </w:tcPr>
          <w:p>
            <w:pPr>
              <w:jc w:val="center"/>
              <w:ind w:right="160"/>
              <w:spacing w:after="0" w:line="81" w:lineRule="exact"/>
              <w:rPr>
                <w:sz w:val="20"/>
                <w:szCs w:val="20"/>
                <w:color w:val="auto"/>
              </w:rPr>
            </w:pPr>
            <w:r>
              <w:rPr>
                <w:rFonts w:ascii="Arial" w:cs="Arial" w:eastAsia="Arial" w:hAnsi="Arial"/>
                <w:sz w:val="8"/>
                <w:szCs w:val="8"/>
                <w:b w:val="1"/>
                <w:bCs w:val="1"/>
                <w:color w:val="auto"/>
              </w:rPr>
              <w:t>Gross</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Number of</w:t>
            </w:r>
          </w:p>
        </w:tc>
        <w:tc>
          <w:tcPr>
            <w:tcW w:w="240" w:type="dxa"/>
            <w:vAlign w:val="bottom"/>
          </w:tcPr>
          <w:p>
            <w:pPr>
              <w:spacing w:after="0"/>
              <w:rPr>
                <w:sz w:val="7"/>
                <w:szCs w:val="7"/>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5"/>
              </w:rPr>
              <w:t>Fair</w:t>
            </w:r>
          </w:p>
        </w:tc>
        <w:tc>
          <w:tcPr>
            <w:tcW w:w="180" w:type="dxa"/>
            <w:vAlign w:val="bottom"/>
          </w:tcPr>
          <w:p>
            <w:pPr>
              <w:spacing w:after="0"/>
              <w:rPr>
                <w:sz w:val="7"/>
                <w:szCs w:val="7"/>
                <w:color w:val="auto"/>
              </w:rPr>
            </w:pPr>
          </w:p>
        </w:tc>
        <w:tc>
          <w:tcPr>
            <w:tcW w:w="860" w:type="dxa"/>
            <w:vAlign w:val="bottom"/>
            <w:gridSpan w:val="2"/>
          </w:tcPr>
          <w:p>
            <w:pPr>
              <w:jc w:val="center"/>
              <w:ind w:right="260"/>
              <w:spacing w:after="0" w:line="81" w:lineRule="exact"/>
              <w:rPr>
                <w:sz w:val="20"/>
                <w:szCs w:val="20"/>
                <w:color w:val="auto"/>
              </w:rPr>
            </w:pPr>
            <w:r>
              <w:rPr>
                <w:rFonts w:ascii="Arial" w:cs="Arial" w:eastAsia="Arial" w:hAnsi="Arial"/>
                <w:sz w:val="8"/>
                <w:szCs w:val="8"/>
                <w:b w:val="1"/>
                <w:bCs w:val="1"/>
                <w:color w:val="auto"/>
              </w:rPr>
              <w:t>Gross</w:t>
            </w:r>
          </w:p>
        </w:tc>
        <w:tc>
          <w:tcPr>
            <w:tcW w:w="960" w:type="dxa"/>
            <w:vAlign w:val="bottom"/>
            <w:vMerge w:val="restart"/>
          </w:tcPr>
          <w:p>
            <w:pPr>
              <w:jc w:val="right"/>
              <w:ind w:right="234"/>
              <w:spacing w:after="0"/>
              <w:rPr>
                <w:sz w:val="20"/>
                <w:szCs w:val="20"/>
                <w:color w:val="auto"/>
              </w:rPr>
            </w:pPr>
            <w:r>
              <w:rPr>
                <w:rFonts w:ascii="Arial" w:cs="Arial" w:eastAsia="Arial" w:hAnsi="Arial"/>
                <w:sz w:val="8"/>
                <w:szCs w:val="8"/>
                <w:b w:val="1"/>
                <w:bCs w:val="1"/>
                <w:color w:val="auto"/>
              </w:rPr>
              <w:t>Number of</w:t>
            </w:r>
          </w:p>
        </w:tc>
        <w:tc>
          <w:tcPr>
            <w:tcW w:w="0" w:type="dxa"/>
            <w:vAlign w:val="bottom"/>
          </w:tcPr>
          <w:p>
            <w:pPr>
              <w:spacing w:after="0"/>
              <w:rPr>
                <w:sz w:val="1"/>
                <w:szCs w:val="1"/>
                <w:color w:val="auto"/>
              </w:rPr>
            </w:pPr>
          </w:p>
        </w:tc>
      </w:tr>
      <w:tr>
        <w:trPr>
          <w:trHeight w:val="82"/>
        </w:trPr>
        <w:tc>
          <w:tcPr>
            <w:tcW w:w="1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unrealized</w:t>
            </w: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unrealized</w:t>
            </w: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unrealized</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960" w:type="dxa"/>
            <w:vAlign w:val="bottom"/>
          </w:tcPr>
          <w:p>
            <w:pPr>
              <w:ind w:left="20"/>
              <w:spacing w:after="0"/>
              <w:rPr>
                <w:sz w:val="20"/>
                <w:szCs w:val="20"/>
                <w:color w:val="auto"/>
              </w:rPr>
            </w:pPr>
            <w:r>
              <w:rPr>
                <w:rFonts w:ascii="Arial" w:cs="Arial" w:eastAsia="Arial" w:hAnsi="Arial"/>
                <w:sz w:val="8"/>
                <w:szCs w:val="8"/>
                <w:b w:val="1"/>
                <w:bCs w:val="1"/>
                <w:color w:val="auto"/>
              </w:rPr>
              <w:t>(Amounts in thousands)</w:t>
            </w:r>
          </w:p>
        </w:tc>
        <w:tc>
          <w:tcPr>
            <w:tcW w:w="22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value</w:t>
            </w:r>
          </w:p>
        </w:tc>
        <w:tc>
          <w:tcPr>
            <w:tcW w:w="18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losses</w:t>
            </w:r>
          </w:p>
        </w:tc>
        <w:tc>
          <w:tcPr>
            <w:tcW w:w="10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securities</w:t>
            </w:r>
          </w:p>
        </w:tc>
        <w:tc>
          <w:tcPr>
            <w:tcW w:w="220" w:type="dxa"/>
            <w:vAlign w:val="bottom"/>
          </w:tcPr>
          <w:p>
            <w:pPr>
              <w:spacing w:after="0"/>
              <w:rPr>
                <w:sz w:val="10"/>
                <w:szCs w:val="1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value</w:t>
            </w:r>
          </w:p>
        </w:tc>
        <w:tc>
          <w:tcPr>
            <w:tcW w:w="8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losses</w:t>
            </w:r>
          </w:p>
        </w:tc>
        <w:tc>
          <w:tcPr>
            <w:tcW w:w="102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securities</w:t>
            </w:r>
          </w:p>
        </w:tc>
        <w:tc>
          <w:tcPr>
            <w:tcW w:w="24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value</w:t>
            </w:r>
          </w:p>
        </w:tc>
        <w:tc>
          <w:tcPr>
            <w:tcW w:w="18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losses</w:t>
            </w:r>
          </w:p>
        </w:tc>
        <w:tc>
          <w:tcPr>
            <w:tcW w:w="960" w:type="dxa"/>
            <w:vAlign w:val="bottom"/>
          </w:tcPr>
          <w:p>
            <w:pPr>
              <w:jc w:val="right"/>
              <w:ind w:right="234"/>
              <w:spacing w:after="0"/>
              <w:rPr>
                <w:sz w:val="20"/>
                <w:szCs w:val="20"/>
                <w:color w:val="auto"/>
              </w:rPr>
            </w:pPr>
            <w:r>
              <w:rPr>
                <w:rFonts w:ascii="Arial" w:cs="Arial" w:eastAsia="Arial" w:hAnsi="Arial"/>
                <w:sz w:val="8"/>
                <w:szCs w:val="8"/>
                <w:b w:val="1"/>
                <w:bCs w:val="1"/>
                <w:color w:val="auto"/>
              </w:rPr>
              <w:t>securities</w:t>
            </w:r>
          </w:p>
        </w:tc>
        <w:tc>
          <w:tcPr>
            <w:tcW w:w="0" w:type="dxa"/>
            <w:vAlign w:val="bottom"/>
          </w:tcPr>
          <w:p>
            <w:pPr>
              <w:spacing w:after="0"/>
              <w:rPr>
                <w:sz w:val="1"/>
                <w:szCs w:val="1"/>
                <w:color w:val="auto"/>
              </w:rPr>
            </w:pPr>
          </w:p>
        </w:tc>
      </w:tr>
      <w:tr>
        <w:trPr>
          <w:trHeight w:val="13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Fixed maturity securities:</w:t>
            </w: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60" w:type="dxa"/>
            <w:vAlign w:val="bottom"/>
          </w:tcPr>
          <w:p>
            <w:pPr>
              <w:ind w:left="20"/>
              <w:spacing w:after="0"/>
              <w:rPr>
                <w:sz w:val="20"/>
                <w:szCs w:val="20"/>
                <w:color w:val="auto"/>
              </w:rPr>
            </w:pPr>
            <w:r>
              <w:rPr>
                <w:rFonts w:ascii="Arial" w:cs="Arial" w:eastAsia="Arial" w:hAnsi="Arial"/>
                <w:sz w:val="10"/>
                <w:szCs w:val="10"/>
                <w:color w:val="auto"/>
              </w:rPr>
              <w:t>U.S. government, agencies and GSEs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103</w:t>
            </w:r>
          </w:p>
        </w:tc>
        <w:tc>
          <w:tcPr>
            <w:tcW w:w="80" w:type="dxa"/>
            <w:vAlign w:val="bottom"/>
          </w:tcPr>
          <w:p>
            <w:pPr>
              <w:spacing w:after="0"/>
              <w:rPr>
                <w:sz w:val="11"/>
                <w:szCs w:val="11"/>
                <w:color w:val="auto"/>
              </w:rPr>
            </w:pPr>
          </w:p>
        </w:tc>
        <w:tc>
          <w:tcPr>
            <w:tcW w:w="180" w:type="dxa"/>
            <w:vAlign w:val="bottom"/>
          </w:tcPr>
          <w:p>
            <w:pPr>
              <w:jc w:val="right"/>
              <w:ind w:right="54"/>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103</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State and political subdivisions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255,202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(4,456)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255,202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(4,456)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27"/>
        </w:trPr>
        <w:tc>
          <w:tcPr>
            <w:tcW w:w="1960" w:type="dxa"/>
            <w:vAlign w:val="bottom"/>
          </w:tcPr>
          <w:p>
            <w:pPr>
              <w:ind w:left="20"/>
              <w:spacing w:after="0"/>
              <w:rPr>
                <w:sz w:val="20"/>
                <w:szCs w:val="20"/>
                <w:color w:val="auto"/>
              </w:rPr>
            </w:pPr>
            <w:r>
              <w:rPr>
                <w:rFonts w:ascii="Arial" w:cs="Arial" w:eastAsia="Arial" w:hAnsi="Arial"/>
                <w:sz w:val="10"/>
                <w:szCs w:val="10"/>
                <w:color w:val="auto"/>
              </w:rPr>
              <w:t>Non-U.S. government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10,560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(190)</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10,560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(190)</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ind w:left="20"/>
              <w:spacing w:after="0"/>
              <w:rPr>
                <w:sz w:val="20"/>
                <w:szCs w:val="20"/>
                <w:color w:val="auto"/>
              </w:rPr>
            </w:pPr>
            <w:r>
              <w:rPr>
                <w:rFonts w:ascii="Arial" w:cs="Arial" w:eastAsia="Arial" w:hAnsi="Arial"/>
                <w:sz w:val="10"/>
                <w:szCs w:val="10"/>
                <w:color w:val="auto"/>
              </w:rPr>
              <w:t>U.S. corporate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649,927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(14,300)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26,181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676,108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(16,090)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27"/>
        </w:trPr>
        <w:tc>
          <w:tcPr>
            <w:tcW w:w="1960" w:type="dxa"/>
            <w:vAlign w:val="bottom"/>
          </w:tcPr>
          <w:p>
            <w:pPr>
              <w:ind w:left="20"/>
              <w:spacing w:after="0"/>
              <w:rPr>
                <w:sz w:val="20"/>
                <w:szCs w:val="20"/>
                <w:color w:val="auto"/>
              </w:rPr>
            </w:pPr>
            <w:r>
              <w:rPr>
                <w:rFonts w:ascii="Arial" w:cs="Arial" w:eastAsia="Arial" w:hAnsi="Arial"/>
                <w:sz w:val="10"/>
                <w:szCs w:val="10"/>
                <w:color w:val="auto"/>
              </w:rPr>
              <w:t>Non-U.S. corporate</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183,485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(3,465)</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183,485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(3,465)</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asset-backed</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456,565</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(5,549)</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rPr>
              <w:t>3,736</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460,301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(5,563)</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78"/>
        </w:trPr>
        <w:tc>
          <w:tcPr>
            <w:tcW w:w="1960" w:type="dxa"/>
            <w:vAlign w:val="bottom"/>
          </w:tcPr>
          <w:p>
            <w:pPr>
              <w:ind w:left="20"/>
              <w:spacing w:after="0" w:line="78" w:lineRule="exact"/>
              <w:rPr>
                <w:sz w:val="20"/>
                <w:szCs w:val="20"/>
                <w:color w:val="auto"/>
              </w:rPr>
            </w:pPr>
            <w:r>
              <w:rPr>
                <w:rFonts w:ascii="Arial" w:cs="Arial" w:eastAsia="Arial" w:hAnsi="Arial"/>
                <w:sz w:val="8"/>
                <w:szCs w:val="8"/>
                <w:color w:val="auto"/>
              </w:rPr>
              <w:t>Total for fixed maturity securities in an</w:t>
            </w: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1,555,842</w:t>
            </w:r>
          </w:p>
        </w:tc>
        <w:tc>
          <w:tcPr>
            <w:tcW w:w="80" w:type="dxa"/>
            <w:vAlign w:val="bottom"/>
          </w:tcPr>
          <w:p>
            <w:pPr>
              <w:spacing w:after="0"/>
              <w:rPr>
                <w:sz w:val="6"/>
                <w:szCs w:val="6"/>
                <w:color w:val="auto"/>
              </w:rPr>
            </w:pPr>
          </w:p>
        </w:tc>
        <w:tc>
          <w:tcPr>
            <w:tcW w:w="180" w:type="dxa"/>
            <w:vAlign w:val="bottom"/>
            <w:vMerge w:val="restart"/>
          </w:tcPr>
          <w:p>
            <w:pPr>
              <w:jc w:val="right"/>
              <w:ind w:right="54"/>
              <w:spacing w:after="0"/>
              <w:rPr>
                <w:sz w:val="20"/>
                <w:szCs w:val="20"/>
                <w:color w:val="auto"/>
              </w:rPr>
            </w:pPr>
            <w:r>
              <w:rPr>
                <w:rFonts w:ascii="Arial" w:cs="Arial" w:eastAsia="Arial" w:hAnsi="Arial"/>
                <w:sz w:val="10"/>
                <w:szCs w:val="10"/>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(27,962)</w:t>
            </w:r>
          </w:p>
        </w:tc>
        <w:tc>
          <w:tcPr>
            <w:tcW w:w="8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247</w:t>
            </w:r>
          </w:p>
        </w:tc>
        <w:tc>
          <w:tcPr>
            <w:tcW w:w="80" w:type="dxa"/>
            <w:vAlign w:val="bottom"/>
          </w:tcPr>
          <w:p>
            <w:pPr>
              <w:spacing w:after="0"/>
              <w:rPr>
                <w:sz w:val="6"/>
                <w:szCs w:val="6"/>
                <w:color w:val="auto"/>
              </w:rPr>
            </w:pP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ind w:right="14"/>
              <w:spacing w:after="0"/>
              <w:rPr>
                <w:sz w:val="20"/>
                <w:szCs w:val="20"/>
                <w:color w:val="auto"/>
              </w:rPr>
            </w:pPr>
            <w:r>
              <w:rPr>
                <w:rFonts w:ascii="Arial" w:cs="Arial" w:eastAsia="Arial" w:hAnsi="Arial"/>
                <w:sz w:val="10"/>
                <w:szCs w:val="10"/>
                <w:b w:val="1"/>
                <w:bCs w:val="1"/>
                <w:color w:val="auto"/>
              </w:rPr>
              <w:t>29,917</w:t>
            </w:r>
          </w:p>
        </w:tc>
        <w:tc>
          <w:tcPr>
            <w:tcW w:w="8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(1,804)</w:t>
            </w:r>
          </w:p>
        </w:tc>
        <w:tc>
          <w:tcPr>
            <w:tcW w:w="8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w:t>
            </w:r>
          </w:p>
        </w:tc>
        <w:tc>
          <w:tcPr>
            <w:tcW w:w="80" w:type="dxa"/>
            <w:vAlign w:val="bottom"/>
          </w:tcPr>
          <w:p>
            <w:pPr>
              <w:spacing w:after="0"/>
              <w:rPr>
                <w:sz w:val="6"/>
                <w:szCs w:val="6"/>
                <w:color w:val="auto"/>
              </w:rPr>
            </w:pPr>
          </w:p>
        </w:tc>
        <w:tc>
          <w:tcPr>
            <w:tcW w:w="24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1,585,759</w:t>
            </w:r>
          </w:p>
        </w:tc>
        <w:tc>
          <w:tcPr>
            <w:tcW w:w="80" w:type="dxa"/>
            <w:vAlign w:val="bottom"/>
          </w:tcPr>
          <w:p>
            <w:pPr>
              <w:spacing w:after="0"/>
              <w:rPr>
                <w:sz w:val="6"/>
                <w:szCs w:val="6"/>
                <w:color w:val="auto"/>
              </w:rPr>
            </w:pPr>
          </w:p>
        </w:tc>
        <w:tc>
          <w:tcPr>
            <w:tcW w:w="18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(29,766)</w:t>
            </w:r>
          </w:p>
        </w:tc>
        <w:tc>
          <w:tcPr>
            <w:tcW w:w="8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252</w:t>
            </w:r>
          </w:p>
        </w:tc>
        <w:tc>
          <w:tcPr>
            <w:tcW w:w="0" w:type="dxa"/>
            <w:vAlign w:val="bottom"/>
          </w:tcPr>
          <w:p>
            <w:pPr>
              <w:spacing w:after="0"/>
              <w:rPr>
                <w:sz w:val="1"/>
                <w:szCs w:val="1"/>
                <w:color w:val="auto"/>
              </w:rPr>
            </w:pPr>
          </w:p>
        </w:tc>
      </w:tr>
      <w:tr>
        <w:trPr>
          <w:trHeight w:val="112"/>
        </w:trPr>
        <w:tc>
          <w:tcPr>
            <w:tcW w:w="1960" w:type="dxa"/>
            <w:vAlign w:val="bottom"/>
          </w:tcPr>
          <w:p>
            <w:pPr>
              <w:ind w:left="140"/>
              <w:spacing w:after="0" w:line="107" w:lineRule="exact"/>
              <w:rPr>
                <w:sz w:val="20"/>
                <w:szCs w:val="20"/>
                <w:color w:val="auto"/>
              </w:rPr>
            </w:pPr>
            <w:r>
              <w:rPr>
                <w:rFonts w:ascii="Arial" w:cs="Arial" w:eastAsia="Arial" w:hAnsi="Arial"/>
                <w:sz w:val="10"/>
                <w:szCs w:val="10"/>
                <w:color w:val="auto"/>
              </w:rPr>
              <w:t>unrealized loss position</w:t>
            </w:r>
          </w:p>
        </w:tc>
        <w:tc>
          <w:tcPr>
            <w:tcW w:w="220" w:type="dxa"/>
            <w:vAlign w:val="bottom"/>
            <w:tcBorders>
              <w:bottom w:val="single" w:sz="8" w:color="auto"/>
            </w:tcBorders>
            <w:vMerge w:val="continue"/>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1" w:name="page142"/>
    <w:bookmarkEnd w:id="141"/>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8"/>
                <w:szCs w:val="8"/>
                <w:b w:val="1"/>
                <w:bCs w:val="1"/>
                <w:color w:val="auto"/>
              </w:rPr>
              <w:t>Less than 12 months</w:t>
            </w: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8"/>
                <w:szCs w:val="8"/>
                <w:b w:val="1"/>
                <w:bCs w:val="1"/>
                <w:color w:val="auto"/>
              </w:rPr>
              <w:t>12 months or more</w:t>
            </w: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w w:val="93"/>
              </w:rPr>
              <w:t>Total</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40" w:type="dxa"/>
            <w:vAlign w:val="bottom"/>
            <w:vMerge w:val="restart"/>
          </w:tcPr>
          <w:p>
            <w:pPr>
              <w:ind w:left="20"/>
              <w:spacing w:after="0"/>
              <w:rPr>
                <w:sz w:val="20"/>
                <w:szCs w:val="20"/>
                <w:color w:val="auto"/>
              </w:rPr>
            </w:pPr>
            <w:r>
              <w:rPr>
                <w:rFonts w:ascii="Arial" w:cs="Arial" w:eastAsia="Arial" w:hAnsi="Arial"/>
                <w:sz w:val="8"/>
                <w:szCs w:val="8"/>
                <w:b w:val="1"/>
                <w:bCs w:val="1"/>
                <w:color w:val="auto"/>
              </w:rPr>
              <w:t>As of December 31, 2020</w:t>
            </w:r>
          </w:p>
        </w:tc>
        <w:tc>
          <w:tcPr>
            <w:tcW w:w="220" w:type="dxa"/>
            <w:vAlign w:val="bottom"/>
          </w:tcPr>
          <w:p>
            <w:pPr>
              <w:spacing w:after="0"/>
              <w:rPr>
                <w:sz w:val="7"/>
                <w:szCs w:val="7"/>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5"/>
              </w:rPr>
              <w:t>Fair</w:t>
            </w:r>
          </w:p>
        </w:tc>
        <w:tc>
          <w:tcPr>
            <w:tcW w:w="80" w:type="dxa"/>
            <w:vAlign w:val="bottom"/>
          </w:tcPr>
          <w:p>
            <w:pPr>
              <w:spacing w:after="0"/>
              <w:rPr>
                <w:sz w:val="7"/>
                <w:szCs w:val="7"/>
                <w:color w:val="auto"/>
              </w:rPr>
            </w:pPr>
          </w:p>
        </w:tc>
        <w:tc>
          <w:tcPr>
            <w:tcW w:w="960" w:type="dxa"/>
            <w:vAlign w:val="bottom"/>
            <w:gridSpan w:val="2"/>
          </w:tcPr>
          <w:p>
            <w:pPr>
              <w:jc w:val="center"/>
              <w:ind w:right="160"/>
              <w:spacing w:after="0" w:line="81" w:lineRule="exact"/>
              <w:rPr>
                <w:sz w:val="20"/>
                <w:szCs w:val="20"/>
                <w:color w:val="auto"/>
              </w:rPr>
            </w:pPr>
            <w:r>
              <w:rPr>
                <w:rFonts w:ascii="Arial" w:cs="Arial" w:eastAsia="Arial" w:hAnsi="Arial"/>
                <w:sz w:val="8"/>
                <w:szCs w:val="8"/>
                <w:b w:val="1"/>
                <w:bCs w:val="1"/>
                <w:color w:val="auto"/>
              </w:rPr>
              <w:t>Gross</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99"/>
              </w:rPr>
              <w:t>Number of</w:t>
            </w:r>
          </w:p>
        </w:tc>
        <w:tc>
          <w:tcPr>
            <w:tcW w:w="220" w:type="dxa"/>
            <w:vAlign w:val="bottom"/>
          </w:tcPr>
          <w:p>
            <w:pPr>
              <w:spacing w:after="0"/>
              <w:rPr>
                <w:sz w:val="7"/>
                <w:szCs w:val="7"/>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rPr>
              <w:t>Fair</w:t>
            </w:r>
          </w:p>
        </w:tc>
        <w:tc>
          <w:tcPr>
            <w:tcW w:w="80" w:type="dxa"/>
            <w:vAlign w:val="bottom"/>
          </w:tcPr>
          <w:p>
            <w:pPr>
              <w:spacing w:after="0"/>
              <w:rPr>
                <w:sz w:val="7"/>
                <w:szCs w:val="7"/>
                <w:color w:val="auto"/>
              </w:rPr>
            </w:pPr>
          </w:p>
        </w:tc>
        <w:tc>
          <w:tcPr>
            <w:tcW w:w="960" w:type="dxa"/>
            <w:vAlign w:val="bottom"/>
            <w:gridSpan w:val="2"/>
          </w:tcPr>
          <w:p>
            <w:pPr>
              <w:jc w:val="center"/>
              <w:ind w:right="160"/>
              <w:spacing w:after="0" w:line="81" w:lineRule="exact"/>
              <w:rPr>
                <w:sz w:val="20"/>
                <w:szCs w:val="20"/>
                <w:color w:val="auto"/>
              </w:rPr>
            </w:pPr>
            <w:r>
              <w:rPr>
                <w:rFonts w:ascii="Arial" w:cs="Arial" w:eastAsia="Arial" w:hAnsi="Arial"/>
                <w:sz w:val="8"/>
                <w:szCs w:val="8"/>
                <w:b w:val="1"/>
                <w:bCs w:val="1"/>
                <w:color w:val="auto"/>
              </w:rPr>
              <w:t>Gross</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Number of</w:t>
            </w:r>
          </w:p>
        </w:tc>
        <w:tc>
          <w:tcPr>
            <w:tcW w:w="220" w:type="dxa"/>
            <w:vAlign w:val="bottom"/>
          </w:tcPr>
          <w:p>
            <w:pPr>
              <w:spacing w:after="0"/>
              <w:rPr>
                <w:sz w:val="7"/>
                <w:szCs w:val="7"/>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8"/>
                <w:szCs w:val="8"/>
                <w:b w:val="1"/>
                <w:bCs w:val="1"/>
                <w:color w:val="auto"/>
                <w:w w:val="95"/>
              </w:rPr>
              <w:t>Fair</w:t>
            </w:r>
          </w:p>
        </w:tc>
        <w:tc>
          <w:tcPr>
            <w:tcW w:w="180" w:type="dxa"/>
            <w:vAlign w:val="bottom"/>
          </w:tcPr>
          <w:p>
            <w:pPr>
              <w:spacing w:after="0"/>
              <w:rPr>
                <w:sz w:val="7"/>
                <w:szCs w:val="7"/>
                <w:color w:val="auto"/>
              </w:rPr>
            </w:pPr>
          </w:p>
        </w:tc>
        <w:tc>
          <w:tcPr>
            <w:tcW w:w="860" w:type="dxa"/>
            <w:vAlign w:val="bottom"/>
            <w:gridSpan w:val="2"/>
          </w:tcPr>
          <w:p>
            <w:pPr>
              <w:jc w:val="center"/>
              <w:ind w:right="260"/>
              <w:spacing w:after="0" w:line="81" w:lineRule="exact"/>
              <w:rPr>
                <w:sz w:val="20"/>
                <w:szCs w:val="20"/>
                <w:color w:val="auto"/>
              </w:rPr>
            </w:pPr>
            <w:r>
              <w:rPr>
                <w:rFonts w:ascii="Arial" w:cs="Arial" w:eastAsia="Arial" w:hAnsi="Arial"/>
                <w:sz w:val="8"/>
                <w:szCs w:val="8"/>
                <w:b w:val="1"/>
                <w:bCs w:val="1"/>
                <w:color w:val="auto"/>
              </w:rPr>
              <w:t>Gross</w:t>
            </w:r>
          </w:p>
        </w:tc>
        <w:tc>
          <w:tcPr>
            <w:tcW w:w="960" w:type="dxa"/>
            <w:vAlign w:val="bottom"/>
            <w:vMerge w:val="restart"/>
          </w:tcPr>
          <w:p>
            <w:pPr>
              <w:jc w:val="right"/>
              <w:ind w:right="234"/>
              <w:spacing w:after="0"/>
              <w:rPr>
                <w:sz w:val="20"/>
                <w:szCs w:val="20"/>
                <w:color w:val="auto"/>
              </w:rPr>
            </w:pPr>
            <w:r>
              <w:rPr>
                <w:rFonts w:ascii="Arial" w:cs="Arial" w:eastAsia="Arial" w:hAnsi="Arial"/>
                <w:sz w:val="8"/>
                <w:szCs w:val="8"/>
                <w:b w:val="1"/>
                <w:bCs w:val="1"/>
                <w:color w:val="auto"/>
              </w:rPr>
              <w:t>Number of</w:t>
            </w: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unrealized</w:t>
            </w: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unrealized</w:t>
            </w:r>
          </w:p>
        </w:tc>
        <w:tc>
          <w:tcPr>
            <w:tcW w:w="10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unrealized</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40" w:type="dxa"/>
            <w:vAlign w:val="bottom"/>
          </w:tcPr>
          <w:p>
            <w:pPr>
              <w:ind w:left="20"/>
              <w:spacing w:after="0"/>
              <w:rPr>
                <w:sz w:val="20"/>
                <w:szCs w:val="20"/>
                <w:color w:val="auto"/>
              </w:rPr>
            </w:pPr>
            <w:r>
              <w:rPr>
                <w:rFonts w:ascii="Arial" w:cs="Arial" w:eastAsia="Arial" w:hAnsi="Arial"/>
                <w:sz w:val="8"/>
                <w:szCs w:val="8"/>
                <w:b w:val="1"/>
                <w:bCs w:val="1"/>
                <w:color w:val="auto"/>
              </w:rPr>
              <w:t>(Amounts in thousands)</w:t>
            </w:r>
          </w:p>
        </w:tc>
        <w:tc>
          <w:tcPr>
            <w:tcW w:w="22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value</w:t>
            </w:r>
          </w:p>
        </w:tc>
        <w:tc>
          <w:tcPr>
            <w:tcW w:w="80" w:type="dxa"/>
            <w:vAlign w:val="bottom"/>
          </w:tcPr>
          <w:p>
            <w:pPr>
              <w:spacing w:after="0"/>
              <w:rPr>
                <w:sz w:val="10"/>
                <w:szCs w:val="1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losses</w:t>
            </w:r>
          </w:p>
        </w:tc>
        <w:tc>
          <w:tcPr>
            <w:tcW w:w="104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securities</w:t>
            </w:r>
          </w:p>
        </w:tc>
        <w:tc>
          <w:tcPr>
            <w:tcW w:w="220" w:type="dxa"/>
            <w:vAlign w:val="bottom"/>
          </w:tcPr>
          <w:p>
            <w:pPr>
              <w:spacing w:after="0"/>
              <w:rPr>
                <w:sz w:val="10"/>
                <w:szCs w:val="1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value</w:t>
            </w:r>
          </w:p>
        </w:tc>
        <w:tc>
          <w:tcPr>
            <w:tcW w:w="8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losses</w:t>
            </w:r>
          </w:p>
        </w:tc>
        <w:tc>
          <w:tcPr>
            <w:tcW w:w="102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securities</w:t>
            </w:r>
          </w:p>
        </w:tc>
        <w:tc>
          <w:tcPr>
            <w:tcW w:w="22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value</w:t>
            </w:r>
          </w:p>
        </w:tc>
        <w:tc>
          <w:tcPr>
            <w:tcW w:w="18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losses</w:t>
            </w:r>
          </w:p>
        </w:tc>
        <w:tc>
          <w:tcPr>
            <w:tcW w:w="960" w:type="dxa"/>
            <w:vAlign w:val="bottom"/>
          </w:tcPr>
          <w:p>
            <w:pPr>
              <w:jc w:val="right"/>
              <w:ind w:right="234"/>
              <w:spacing w:after="0"/>
              <w:rPr>
                <w:sz w:val="20"/>
                <w:szCs w:val="20"/>
                <w:color w:val="auto"/>
              </w:rPr>
            </w:pPr>
            <w:r>
              <w:rPr>
                <w:rFonts w:ascii="Arial" w:cs="Arial" w:eastAsia="Arial" w:hAnsi="Arial"/>
                <w:sz w:val="8"/>
                <w:szCs w:val="8"/>
                <w:b w:val="1"/>
                <w:bCs w:val="1"/>
                <w:color w:val="auto"/>
              </w:rPr>
              <w:t>securities</w:t>
            </w:r>
          </w:p>
        </w:tc>
        <w:tc>
          <w:tcPr>
            <w:tcW w:w="0" w:type="dxa"/>
            <w:vAlign w:val="bottom"/>
          </w:tcPr>
          <w:p>
            <w:pPr>
              <w:spacing w:after="0"/>
              <w:rPr>
                <w:sz w:val="1"/>
                <w:szCs w:val="1"/>
                <w:color w:val="auto"/>
              </w:rPr>
            </w:pPr>
          </w:p>
        </w:tc>
      </w:tr>
      <w:tr>
        <w:trPr>
          <w:trHeight w:val="131"/>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Fixed maturity securities:</w:t>
            </w: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40" w:type="dxa"/>
            <w:vAlign w:val="bottom"/>
          </w:tcPr>
          <w:p>
            <w:pPr>
              <w:ind w:left="20"/>
              <w:spacing w:after="0"/>
              <w:rPr>
                <w:sz w:val="20"/>
                <w:szCs w:val="20"/>
                <w:color w:val="auto"/>
              </w:rPr>
            </w:pPr>
            <w:r>
              <w:rPr>
                <w:rFonts w:ascii="Arial" w:cs="Arial" w:eastAsia="Arial" w:hAnsi="Arial"/>
                <w:sz w:val="10"/>
                <w:szCs w:val="10"/>
                <w:color w:val="auto"/>
              </w:rPr>
              <w:t>U.S. government, agencies and GSEs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State and political subdivisions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4,717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7"/>
        </w:trPr>
        <w:tc>
          <w:tcPr>
            <w:tcW w:w="2040" w:type="dxa"/>
            <w:vAlign w:val="bottom"/>
          </w:tcPr>
          <w:p>
            <w:pPr>
              <w:ind w:left="20"/>
              <w:spacing w:after="0"/>
              <w:rPr>
                <w:sz w:val="20"/>
                <w:szCs w:val="20"/>
                <w:color w:val="auto"/>
              </w:rPr>
            </w:pPr>
            <w:r>
              <w:rPr>
                <w:rFonts w:ascii="Arial" w:cs="Arial" w:eastAsia="Arial" w:hAnsi="Arial"/>
                <w:sz w:val="10"/>
                <w:szCs w:val="10"/>
                <w:color w:val="auto"/>
              </w:rPr>
              <w:t>Non-U.S. government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U.S. corporate</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2,886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47,182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27"/>
        </w:trPr>
        <w:tc>
          <w:tcPr>
            <w:tcW w:w="2040" w:type="dxa"/>
            <w:vAlign w:val="bottom"/>
          </w:tcPr>
          <w:p>
            <w:pPr>
              <w:ind w:left="20"/>
              <w:spacing w:after="0"/>
              <w:rPr>
                <w:sz w:val="20"/>
                <w:szCs w:val="20"/>
                <w:color w:val="auto"/>
              </w:rPr>
            </w:pPr>
            <w:r>
              <w:rPr>
                <w:rFonts w:ascii="Arial" w:cs="Arial" w:eastAsia="Arial" w:hAnsi="Arial"/>
                <w:sz w:val="10"/>
                <w:szCs w:val="10"/>
                <w:color w:val="auto"/>
              </w:rPr>
              <w:t>Non-U.S. corporate</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32,533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(2,877)</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32,533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(2,877)</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asset-backed</w:t>
            </w: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24,823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rPr>
              <w:t>26,028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(274)</w:t>
            </w: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50,851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(334)</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78"/>
        </w:trPr>
        <w:tc>
          <w:tcPr>
            <w:tcW w:w="2040" w:type="dxa"/>
            <w:vAlign w:val="bottom"/>
          </w:tcPr>
          <w:p>
            <w:pPr>
              <w:ind w:left="20"/>
              <w:spacing w:after="0" w:line="78" w:lineRule="exact"/>
              <w:rPr>
                <w:sz w:val="20"/>
                <w:szCs w:val="20"/>
                <w:color w:val="auto"/>
              </w:rPr>
            </w:pPr>
            <w:r>
              <w:rPr>
                <w:rFonts w:ascii="Arial" w:cs="Arial" w:eastAsia="Arial" w:hAnsi="Arial"/>
                <w:sz w:val="8"/>
                <w:szCs w:val="8"/>
                <w:color w:val="auto"/>
              </w:rPr>
              <w:t>Total for fixed maturity securities in an</w:t>
            </w: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106,369</w:t>
            </w:r>
          </w:p>
        </w:tc>
        <w:tc>
          <w:tcPr>
            <w:tcW w:w="8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(4,171)</w:t>
            </w:r>
          </w:p>
        </w:tc>
        <w:tc>
          <w:tcPr>
            <w:tcW w:w="8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23</w:t>
            </w:r>
          </w:p>
        </w:tc>
        <w:tc>
          <w:tcPr>
            <w:tcW w:w="80" w:type="dxa"/>
            <w:vAlign w:val="bottom"/>
          </w:tcPr>
          <w:p>
            <w:pPr>
              <w:spacing w:after="0"/>
              <w:rPr>
                <w:sz w:val="6"/>
                <w:szCs w:val="6"/>
                <w:color w:val="auto"/>
              </w:rPr>
            </w:pP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ind w:right="14"/>
              <w:spacing w:after="0"/>
              <w:rPr>
                <w:sz w:val="20"/>
                <w:szCs w:val="20"/>
                <w:color w:val="auto"/>
              </w:rPr>
            </w:pPr>
            <w:r>
              <w:rPr>
                <w:rFonts w:ascii="Arial" w:cs="Arial" w:eastAsia="Arial" w:hAnsi="Arial"/>
                <w:sz w:val="10"/>
                <w:szCs w:val="10"/>
                <w:b w:val="1"/>
                <w:bCs w:val="1"/>
                <w:color w:val="auto"/>
              </w:rPr>
              <w:t>28,914</w:t>
            </w:r>
          </w:p>
        </w:tc>
        <w:tc>
          <w:tcPr>
            <w:tcW w:w="8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(388)</w:t>
            </w:r>
          </w:p>
        </w:tc>
        <w:tc>
          <w:tcPr>
            <w:tcW w:w="8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7</w:t>
            </w:r>
          </w:p>
        </w:tc>
        <w:tc>
          <w:tcPr>
            <w:tcW w:w="80" w:type="dxa"/>
            <w:vAlign w:val="bottom"/>
          </w:tcPr>
          <w:p>
            <w:pPr>
              <w:spacing w:after="0"/>
              <w:rPr>
                <w:sz w:val="6"/>
                <w:szCs w:val="6"/>
                <w:color w:val="auto"/>
              </w:rPr>
            </w:pPr>
          </w:p>
        </w:tc>
        <w:tc>
          <w:tcPr>
            <w:tcW w:w="22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135,283</w:t>
            </w:r>
          </w:p>
        </w:tc>
        <w:tc>
          <w:tcPr>
            <w:tcW w:w="80" w:type="dxa"/>
            <w:vAlign w:val="bottom"/>
          </w:tcPr>
          <w:p>
            <w:pPr>
              <w:spacing w:after="0"/>
              <w:rPr>
                <w:sz w:val="6"/>
                <w:szCs w:val="6"/>
                <w:color w:val="auto"/>
              </w:rPr>
            </w:pPr>
          </w:p>
        </w:tc>
        <w:tc>
          <w:tcPr>
            <w:tcW w:w="18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(4,559)</w:t>
            </w:r>
          </w:p>
        </w:tc>
        <w:tc>
          <w:tcPr>
            <w:tcW w:w="8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30</w:t>
            </w:r>
          </w:p>
        </w:tc>
        <w:tc>
          <w:tcPr>
            <w:tcW w:w="0" w:type="dxa"/>
            <w:vAlign w:val="bottom"/>
          </w:tcPr>
          <w:p>
            <w:pPr>
              <w:spacing w:after="0"/>
              <w:rPr>
                <w:sz w:val="1"/>
                <w:szCs w:val="1"/>
                <w:color w:val="auto"/>
              </w:rPr>
            </w:pPr>
          </w:p>
        </w:tc>
      </w:tr>
      <w:tr>
        <w:trPr>
          <w:trHeight w:val="112"/>
        </w:trPr>
        <w:tc>
          <w:tcPr>
            <w:tcW w:w="2040" w:type="dxa"/>
            <w:vAlign w:val="bottom"/>
          </w:tcPr>
          <w:p>
            <w:pPr>
              <w:ind w:left="140"/>
              <w:spacing w:after="0" w:line="107" w:lineRule="exact"/>
              <w:rPr>
                <w:sz w:val="20"/>
                <w:szCs w:val="20"/>
                <w:color w:val="auto"/>
              </w:rPr>
            </w:pPr>
            <w:r>
              <w:rPr>
                <w:rFonts w:ascii="Arial" w:cs="Arial" w:eastAsia="Arial" w:hAnsi="Arial"/>
                <w:sz w:val="10"/>
                <w:szCs w:val="10"/>
                <w:color w:val="auto"/>
              </w:rPr>
              <w:t>unrealized loss position</w:t>
            </w:r>
          </w:p>
        </w:tc>
        <w:tc>
          <w:tcPr>
            <w:tcW w:w="22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Contractual Maturities of Fixed Maturity Securities Available-For-Sale</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scheduled maturity distribution of fixed maturity securities as of December 31, 2021, is set forth below. Actual maturities may differ from contractual maturities because issuers of securities may have the right to call or prepay obligations with or without call or prepayment penalties.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4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320" w:type="dxa"/>
            <w:vAlign w:val="bottom"/>
          </w:tcPr>
          <w:p>
            <w:pPr>
              <w:spacing w:after="0"/>
              <w:rPr>
                <w:sz w:val="10"/>
                <w:szCs w:val="1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Amortized</w:t>
            </w:r>
          </w:p>
        </w:tc>
        <w:tc>
          <w:tcPr>
            <w:tcW w:w="320" w:type="dxa"/>
            <w:vAlign w:val="bottom"/>
          </w:tcPr>
          <w:p>
            <w:pPr>
              <w:spacing w:after="0"/>
              <w:rPr>
                <w:sz w:val="10"/>
                <w:szCs w:val="10"/>
                <w:color w:val="auto"/>
              </w:rPr>
            </w:pPr>
          </w:p>
        </w:tc>
        <w:tc>
          <w:tcPr>
            <w:tcW w:w="1260" w:type="dxa"/>
            <w:vAlign w:val="bottom"/>
            <w:vMerge w:val="restart"/>
          </w:tcPr>
          <w:p>
            <w:pPr>
              <w:jc w:val="right"/>
              <w:ind w:right="45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33"/>
        </w:trPr>
        <w:tc>
          <w:tcPr>
            <w:tcW w:w="804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20" w:type="dxa"/>
            <w:vAlign w:val="bottom"/>
          </w:tcPr>
          <w:p>
            <w:pPr>
              <w:spacing w:after="0"/>
              <w:rPr>
                <w:sz w:val="11"/>
                <w:szCs w:val="1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7"/>
              </w:rPr>
              <w:t>cost</w:t>
            </w: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Due in one year or less</w:t>
            </w:r>
          </w:p>
        </w:tc>
        <w:tc>
          <w:tcPr>
            <w:tcW w:w="3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237,164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240,048</w:t>
            </w:r>
          </w:p>
        </w:tc>
        <w:tc>
          <w:tcPr>
            <w:tcW w:w="0" w:type="dxa"/>
            <w:vAlign w:val="bottom"/>
          </w:tcPr>
          <w:p>
            <w:pPr>
              <w:spacing w:after="0"/>
              <w:rPr>
                <w:sz w:val="1"/>
                <w:szCs w:val="1"/>
                <w:color w:val="auto"/>
              </w:rPr>
            </w:pPr>
          </w:p>
        </w:tc>
      </w:tr>
      <w:tr>
        <w:trPr>
          <w:trHeight w:val="174"/>
        </w:trPr>
        <w:tc>
          <w:tcPr>
            <w:tcW w:w="8040" w:type="dxa"/>
            <w:vAlign w:val="bottom"/>
          </w:tcPr>
          <w:p>
            <w:pPr>
              <w:ind w:left="180"/>
              <w:spacing w:after="0"/>
              <w:rPr>
                <w:sz w:val="20"/>
                <w:szCs w:val="20"/>
                <w:color w:val="auto"/>
              </w:rPr>
            </w:pPr>
            <w:r>
              <w:rPr>
                <w:rFonts w:ascii="Arial" w:cs="Arial" w:eastAsia="Arial" w:hAnsi="Arial"/>
                <w:sz w:val="14"/>
                <w:szCs w:val="14"/>
                <w:color w:val="auto"/>
              </w:rPr>
              <w:t>Due after one year through five years</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2,103,116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2,199,430</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after five years through ten years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1,459,032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1,466,686</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Due after ten years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327,123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325,010</w:t>
            </w:r>
          </w:p>
        </w:tc>
        <w:tc>
          <w:tcPr>
            <w:tcW w:w="0" w:type="dxa"/>
            <w:vAlign w:val="bottom"/>
          </w:tcPr>
          <w:p>
            <w:pPr>
              <w:spacing w:after="0"/>
              <w:rPr>
                <w:sz w:val="1"/>
                <w:szCs w:val="1"/>
                <w:color w:val="auto"/>
              </w:rPr>
            </w:pP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4,126,435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4,231,174</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asset-backed</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1,033,739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1,035,165</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fixed maturity securities available-for-sale</w:t>
            </w: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5,160,174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5,266,339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3"/>
          <w:szCs w:val="13"/>
          <w:color w:val="auto"/>
        </w:rPr>
        <w:t>As of December 31, 2021, securities issued by finance and insurance, consumer—non-cyclical and technology and communications industry groups represented approximately 29%, 16% and 13%, respectively, of our domestic and foreign corporate fixed maturity securities portfolio. No other industry group comprised more than 10% of our investment portfolio.</w:t>
      </w:r>
    </w:p>
    <w:p>
      <w:pPr>
        <w:spacing w:after="0" w:line="9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As of December 31, 2021 and 2020, we did not hold any fixed maturity securities in any single issuer, other than securities issued or guaranteed by the U.S. government, which exceeded 10% of equity.</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As of December 31, 2021 and 2020, $22.9 million and $27.8 million, respectively, of securities were on deposit with various state insurance commissioners in order to comply with relevant insurance regulations.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Equity Method Investments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Prior to December 31, 2020,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we classified our investment in Genworth Canada as an equity method investment. We elected to account for the investment in Genworth Canada under the fair value option because the investment had a readily determinable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2" w:name="page143"/>
    <w:bookmarkEnd w:id="142"/>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3"/>
          <w:szCs w:val="13"/>
          <w:color w:val="auto"/>
        </w:rPr>
        <w:t>On December 12, 2019, we completed the sale of our investment in Genworth Canada to an affiliate of Brookfield Business Partners L.P. and received approximately $501.8 million in net cash proceeds. We also received cash proceeds from the sale of common shares of Genworth Canada of $8.4 million in 2019 related to share repurchases by Genworth Canada.</w:t>
      </w:r>
    </w:p>
    <w:p>
      <w:pPr>
        <w:spacing w:after="0" w:line="95"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pre-tax change in fair value of the investment in Genworth Canada, including dividends and the sale of common shares, was $127.4 million in 2019. This was included within change in fair value of unconsolidated affiliate in the consolidated statements of income, net of provision for income taxes of $12.1 million in 2019.</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following table presents summarized statement of income information from January 1, 2019, to December 12, 2019, the period we held an equity method investment in Genworth Canada: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0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47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4"/>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76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585,066</w:t>
            </w:r>
          </w:p>
        </w:tc>
      </w:tr>
      <w:tr>
        <w:trPr>
          <w:trHeight w:val="173"/>
        </w:trPr>
        <w:tc>
          <w:tcPr>
            <w:tcW w:w="5500" w:type="dxa"/>
            <w:vAlign w:val="bottom"/>
          </w:tcPr>
          <w:p>
            <w:pPr>
              <w:ind w:left="20"/>
              <w:spacing w:after="0"/>
              <w:rPr>
                <w:sz w:val="20"/>
                <w:szCs w:val="20"/>
                <w:color w:val="auto"/>
              </w:rPr>
            </w:pPr>
            <w:r>
              <w:rPr>
                <w:rFonts w:ascii="Arial" w:cs="Arial" w:eastAsia="Arial" w:hAnsi="Arial"/>
                <w:sz w:val="14"/>
                <w:szCs w:val="14"/>
                <w:color w:val="auto"/>
              </w:rPr>
              <w:t>Expense</w:t>
            </w:r>
          </w:p>
        </w:tc>
        <w:tc>
          <w:tcPr>
            <w:tcW w:w="476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197,889</w:t>
            </w:r>
          </w:p>
        </w:tc>
      </w:tr>
    </w:tbl>
    <w:p>
      <w:pPr>
        <w:spacing w:after="0" w:line="195"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November 2021, we completed the acquisition of Genworth Financial Mauritius Holdings Limited from Genworth Financial International Holdings, a subsidiary of Genworth, for $27 million, its estimated fair value. The primary asset of the entity is a minority ownership interest in a mortgage guarantee business in India. Based on our ownership percentage, we have concluded that we have significant influence over the entity and have classified our interest as an equity method investment which is recorded within other assets.</w:t>
      </w:r>
    </w:p>
    <w:p>
      <w:pPr>
        <w:spacing w:after="0" w:line="104" w:lineRule="exact"/>
        <w:rPr>
          <w:sz w:val="20"/>
          <w:szCs w:val="20"/>
          <w:color w:val="auto"/>
        </w:rPr>
      </w:pPr>
    </w:p>
    <w:p>
      <w:pPr>
        <w:ind w:left="480" w:hanging="478"/>
        <w:spacing w:after="0"/>
        <w:tabs>
          <w:tab w:leader="none" w:pos="48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Recurring Fair Value Measurements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Fixed Maturity Securities Measured at Fair Value</w:t>
      </w:r>
    </w:p>
    <w:p>
      <w:pPr>
        <w:spacing w:after="0" w:line="14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21"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Further, while we consider the valuations provided by pricing services and broker quotes to be of high quality, management determines the fair value of its investment securities after considering all relevant and available information.</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general, we first obtain valuations from pricing services. If prices are unavailable for public securities, it obtains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3" w:name="page144"/>
    <w:bookmarkEnd w:id="143"/>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Broker quotes are typically based on an income approach given the lack of available market data. As the valuation typically includes significant unobservable inputs, we classify the securities where fair value is based on its consideration of broker quotes as Level 3 measurements.</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December 31, 2021.</w:t>
      </w:r>
    </w:p>
    <w:p>
      <w:pPr>
        <w:spacing w:after="0" w:line="121"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assessment of whether or not there were significant unobservable inputs related to fixed maturity securities was based on its observations obtained through the course of managing its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its estimated values incorporate significant unobservable inputs that would result in the valuation being classified as Level 3.</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 summary of the inputs used for our fixed maturity securities based on the level in which instruments are classified is included below. We have combined certain classes of instruments together as the nature of the inputs is similar.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Level 1 measurements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had no fixed maturity securities classified as Level 1 as of December 31, 2021 and 2020.</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Level 2 measurements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Third-party Pricing Services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estimating the fair value of fixed maturity securities, approximately 88% of our portfolio was priced using third-party pricing services as of December 31, 2021.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4" w:name="page145"/>
    <w:bookmarkEnd w:id="144"/>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The following table presents a summary of the significant inputs used by our pricing services for certain fair value measurements of fixed maturity securities that are classified as Level 2 as of December 31, 2021:</w:t>
      </w:r>
    </w:p>
    <w:p>
      <w:pPr>
        <w:sectPr>
          <w:pgSz w:w="11900" w:h="16838" w:orient="portrait"/>
          <w:cols w:equalWidth="0" w:num="1">
            <w:col w:w="11280"/>
          </w:cols>
          <w:pgMar w:left="300" w:top="205" w:right="319" w:bottom="1440" w:gutter="0" w:footer="0" w:header="0"/>
        </w:sectPr>
      </w:pP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00" w:type="dxa"/>
            <w:vAlign w:val="bottom"/>
          </w:tcPr>
          <w:p>
            <w:pPr>
              <w:spacing w:after="0"/>
              <w:rPr>
                <w:sz w:val="20"/>
                <w:szCs w:val="20"/>
                <w:color w:val="auto"/>
              </w:rPr>
            </w:pPr>
            <w:r>
              <w:rPr>
                <w:rFonts w:ascii="Arial" w:cs="Arial" w:eastAsia="Arial" w:hAnsi="Arial"/>
                <w:sz w:val="11"/>
                <w:szCs w:val="11"/>
                <w:b w:val="1"/>
                <w:bCs w:val="1"/>
                <w:color w:val="auto"/>
              </w:rPr>
              <w:t>2021</w:t>
            </w: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00" w:type="dxa"/>
            <w:vAlign w:val="bottom"/>
          </w:tcPr>
          <w:p>
            <w:pPr>
              <w:spacing w:after="0" w:line="103" w:lineRule="exact"/>
              <w:rPr>
                <w:sz w:val="20"/>
                <w:szCs w:val="20"/>
                <w:color w:val="auto"/>
              </w:rPr>
            </w:pPr>
            <w:r>
              <w:rPr>
                <w:rFonts w:ascii="Arial" w:cs="Arial" w:eastAsia="Arial" w:hAnsi="Arial"/>
                <w:sz w:val="11"/>
                <w:szCs w:val="11"/>
                <w:b w:val="1"/>
                <w:bCs w:val="1"/>
                <w:color w:val="auto"/>
              </w:rPr>
              <w:t>(Amounts in</w:t>
            </w:r>
          </w:p>
        </w:tc>
        <w:tc>
          <w:tcPr>
            <w:tcW w:w="260" w:type="dxa"/>
            <w:vAlign w:val="bottom"/>
          </w:tcPr>
          <w:p>
            <w:pPr>
              <w:spacing w:after="0"/>
              <w:rPr>
                <w:sz w:val="8"/>
                <w:szCs w:val="8"/>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Fair value</w:t>
            </w:r>
          </w:p>
        </w:tc>
        <w:tc>
          <w:tcPr>
            <w:tcW w:w="3960" w:type="dxa"/>
            <w:vAlign w:val="bottom"/>
            <w:vMerge w:val="restart"/>
          </w:tcPr>
          <w:p>
            <w:pPr>
              <w:ind w:left="1380"/>
              <w:spacing w:after="0"/>
              <w:rPr>
                <w:sz w:val="20"/>
                <w:szCs w:val="20"/>
                <w:color w:val="auto"/>
              </w:rPr>
            </w:pPr>
            <w:r>
              <w:rPr>
                <w:rFonts w:ascii="Arial" w:cs="Arial" w:eastAsia="Arial" w:hAnsi="Arial"/>
                <w:sz w:val="11"/>
                <w:szCs w:val="11"/>
                <w:b w:val="1"/>
                <w:bCs w:val="1"/>
                <w:color w:val="auto"/>
              </w:rPr>
              <w:t>Primary methodologies</w:t>
            </w:r>
          </w:p>
        </w:tc>
        <w:tc>
          <w:tcPr>
            <w:tcW w:w="0" w:type="dxa"/>
            <w:vAlign w:val="bottom"/>
          </w:tcPr>
          <w:p>
            <w:pPr>
              <w:spacing w:after="0"/>
              <w:rPr>
                <w:sz w:val="1"/>
                <w:szCs w:val="1"/>
                <w:color w:val="auto"/>
              </w:rPr>
            </w:pPr>
          </w:p>
        </w:tc>
      </w:tr>
      <w:tr>
        <w:trPr>
          <w:trHeight w:val="133"/>
        </w:trPr>
        <w:tc>
          <w:tcPr>
            <w:tcW w:w="2000" w:type="dxa"/>
            <w:vAlign w:val="bottom"/>
          </w:tcPr>
          <w:p>
            <w:pPr>
              <w:spacing w:after="0"/>
              <w:rPr>
                <w:sz w:val="20"/>
                <w:szCs w:val="20"/>
                <w:color w:val="auto"/>
              </w:rPr>
            </w:pPr>
            <w:r>
              <w:rPr>
                <w:rFonts w:ascii="Arial" w:cs="Arial" w:eastAsia="Arial" w:hAnsi="Arial"/>
                <w:sz w:val="11"/>
                <w:szCs w:val="11"/>
                <w:b w:val="1"/>
                <w:bCs w:val="1"/>
                <w:color w:val="auto"/>
              </w:rPr>
              <w:t>thousands)</w:t>
            </w:r>
          </w:p>
        </w:tc>
        <w:tc>
          <w:tcPr>
            <w:tcW w:w="2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line="124" w:lineRule="exact"/>
              <w:rPr>
                <w:sz w:val="20"/>
                <w:szCs w:val="20"/>
                <w:color w:val="auto"/>
              </w:rPr>
            </w:pPr>
            <w:r>
              <w:rPr>
                <w:rFonts w:ascii="Arial" w:cs="Arial" w:eastAsia="Arial" w:hAnsi="Arial"/>
                <w:sz w:val="14"/>
                <w:szCs w:val="14"/>
                <w:color w:val="auto"/>
              </w:rPr>
              <w:t>U.S. government, agencies and</w:t>
            </w:r>
          </w:p>
        </w:tc>
        <w:tc>
          <w:tcPr>
            <w:tcW w:w="260" w:type="dxa"/>
            <w:vAlign w:val="bottom"/>
            <w:tcBorders>
              <w:top w:val="single" w:sz="8" w:color="auto"/>
            </w:tcBorders>
          </w:tcPr>
          <w:p>
            <w:pPr>
              <w:jc w:val="right"/>
              <w:ind w:right="92"/>
              <w:spacing w:after="0" w:line="124"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58,408</w:t>
            </w:r>
          </w:p>
        </w:tc>
        <w:tc>
          <w:tcPr>
            <w:tcW w:w="80" w:type="dxa"/>
            <w:vAlign w:val="bottom"/>
          </w:tcPr>
          <w:p>
            <w:pPr>
              <w:spacing w:after="0"/>
              <w:rPr>
                <w:sz w:val="10"/>
                <w:szCs w:val="10"/>
                <w:color w:val="auto"/>
              </w:rPr>
            </w:pPr>
          </w:p>
        </w:tc>
        <w:tc>
          <w:tcPr>
            <w:tcW w:w="396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4"/>
                <w:szCs w:val="14"/>
                <w:color w:val="auto"/>
              </w:rPr>
              <w:t>Price quotes from trading desk, broker feeds</w:t>
            </w:r>
          </w:p>
        </w:tc>
        <w:tc>
          <w:tcPr>
            <w:tcW w:w="0" w:type="dxa"/>
            <w:vAlign w:val="bottom"/>
          </w:tcPr>
          <w:p>
            <w:pPr>
              <w:spacing w:after="0"/>
              <w:rPr>
                <w:sz w:val="1"/>
                <w:szCs w:val="1"/>
                <w:color w:val="auto"/>
              </w:rPr>
            </w:pPr>
          </w:p>
        </w:tc>
      </w:tr>
      <w:tr>
        <w:trPr>
          <w:trHeight w:val="164"/>
        </w:trPr>
        <w:tc>
          <w:tcPr>
            <w:tcW w:w="2000" w:type="dxa"/>
            <w:vAlign w:val="bottom"/>
          </w:tcPr>
          <w:p>
            <w:pPr>
              <w:ind w:left="120"/>
              <w:spacing w:after="0"/>
              <w:rPr>
                <w:sz w:val="20"/>
                <w:szCs w:val="20"/>
                <w:color w:val="auto"/>
              </w:rPr>
            </w:pPr>
            <w:r>
              <w:rPr>
                <w:rFonts w:ascii="Arial" w:cs="Arial" w:eastAsia="Arial" w:hAnsi="Arial"/>
                <w:sz w:val="14"/>
                <w:szCs w:val="14"/>
                <w:color w:val="auto"/>
              </w:rPr>
              <w:t>GSEs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00" w:type="dxa"/>
            <w:vAlign w:val="bottom"/>
          </w:tcPr>
          <w:p>
            <w:pPr>
              <w:spacing w:after="0"/>
              <w:rPr>
                <w:sz w:val="20"/>
                <w:szCs w:val="20"/>
                <w:color w:val="auto"/>
              </w:rPr>
            </w:pPr>
            <w:r>
              <w:rPr>
                <w:rFonts w:ascii="Arial" w:cs="Arial" w:eastAsia="Arial" w:hAnsi="Arial"/>
                <w:sz w:val="14"/>
                <w:szCs w:val="14"/>
                <w:color w:val="auto"/>
              </w:rPr>
              <w:t>State and political subdivisions</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538,453</w:t>
            </w:r>
          </w:p>
        </w:tc>
        <w:tc>
          <w:tcPr>
            <w:tcW w:w="80" w:type="dxa"/>
            <w:vAlign w:val="bottom"/>
          </w:tcPr>
          <w:p>
            <w:pPr>
              <w:spacing w:after="0"/>
              <w:rPr>
                <w:sz w:val="24"/>
                <w:szCs w:val="2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w w:val="99"/>
              </w:rPr>
              <w:t>Multi-dimensional attribute-based modeling systems, third-party</w:t>
            </w: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pricing vendors</w:t>
            </w:r>
          </w:p>
        </w:tc>
        <w:tc>
          <w:tcPr>
            <w:tcW w:w="0" w:type="dxa"/>
            <w:vAlign w:val="bottom"/>
          </w:tcPr>
          <w:p>
            <w:pPr>
              <w:spacing w:after="0"/>
              <w:rPr>
                <w:sz w:val="1"/>
                <w:szCs w:val="1"/>
                <w:color w:val="auto"/>
              </w:rPr>
            </w:pPr>
          </w:p>
        </w:tc>
      </w:tr>
      <w:tr>
        <w:trPr>
          <w:trHeight w:val="144"/>
        </w:trPr>
        <w:tc>
          <w:tcPr>
            <w:tcW w:w="2000" w:type="dxa"/>
            <w:vAlign w:val="bottom"/>
          </w:tcPr>
          <w:p>
            <w:pPr>
              <w:spacing w:after="0" w:line="144" w:lineRule="exact"/>
              <w:rPr>
                <w:sz w:val="20"/>
                <w:szCs w:val="20"/>
                <w:color w:val="auto"/>
              </w:rPr>
            </w:pPr>
            <w:r>
              <w:rPr>
                <w:rFonts w:ascii="Arial" w:cs="Arial" w:eastAsia="Arial" w:hAnsi="Arial"/>
                <w:sz w:val="14"/>
                <w:szCs w:val="14"/>
                <w:color w:val="auto"/>
              </w:rPr>
              <w:t>Non-U.S. government</w:t>
            </w:r>
          </w:p>
        </w:tc>
        <w:tc>
          <w:tcPr>
            <w:tcW w:w="260" w:type="dxa"/>
            <w:vAlign w:val="bottom"/>
          </w:tcPr>
          <w:p>
            <w:pPr>
              <w:jc w:val="right"/>
              <w:ind w:right="92"/>
              <w:spacing w:after="0" w:line="144"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4" w:lineRule="exact"/>
              <w:rPr>
                <w:sz w:val="20"/>
                <w:szCs w:val="20"/>
                <w:color w:val="auto"/>
              </w:rPr>
            </w:pPr>
            <w:r>
              <w:rPr>
                <w:rFonts w:ascii="Arial" w:cs="Arial" w:eastAsia="Arial" w:hAnsi="Arial"/>
                <w:sz w:val="14"/>
                <w:szCs w:val="14"/>
                <w:color w:val="auto"/>
              </w:rPr>
              <w:t>22,416</w:t>
            </w:r>
          </w:p>
        </w:tc>
        <w:tc>
          <w:tcPr>
            <w:tcW w:w="80" w:type="dxa"/>
            <w:vAlign w:val="bottom"/>
          </w:tcPr>
          <w:p>
            <w:pPr>
              <w:spacing w:after="0"/>
              <w:rPr>
                <w:sz w:val="12"/>
                <w:szCs w:val="12"/>
                <w:color w:val="auto"/>
              </w:rPr>
            </w:pPr>
          </w:p>
        </w:tc>
        <w:tc>
          <w:tcPr>
            <w:tcW w:w="3960" w:type="dxa"/>
            <w:vAlign w:val="bottom"/>
          </w:tcPr>
          <w:p>
            <w:pPr>
              <w:ind w:left="20"/>
              <w:spacing w:after="0" w:line="144" w:lineRule="exact"/>
              <w:rPr>
                <w:sz w:val="20"/>
                <w:szCs w:val="20"/>
                <w:color w:val="auto"/>
              </w:rPr>
            </w:pPr>
            <w:r>
              <w:rPr>
                <w:rFonts w:ascii="Arial" w:cs="Arial" w:eastAsia="Arial" w:hAnsi="Arial"/>
                <w:sz w:val="14"/>
                <w:szCs w:val="14"/>
                <w:color w:val="auto"/>
                <w:w w:val="99"/>
              </w:rPr>
              <w:t>Matrix pricing, spread priced to benchmark curves, price quotes</w:t>
            </w: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from market makers</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0"/>
                <w:szCs w:val="20"/>
                <w:color w:val="auto"/>
              </w:rPr>
            </w:pPr>
            <w:r>
              <w:rPr>
                <w:rFonts w:ascii="Arial" w:cs="Arial" w:eastAsia="Arial" w:hAnsi="Arial"/>
                <w:sz w:val="14"/>
                <w:szCs w:val="14"/>
                <w:color w:val="auto"/>
              </w:rPr>
              <w:t>U.S. corporate</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2,527,949</w:t>
            </w:r>
          </w:p>
        </w:tc>
        <w:tc>
          <w:tcPr>
            <w:tcW w:w="80" w:type="dxa"/>
            <w:vAlign w:val="bottom"/>
          </w:tcPr>
          <w:p>
            <w:pPr>
              <w:spacing w:after="0"/>
              <w:rPr>
                <w:sz w:val="24"/>
                <w:szCs w:val="2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Multi-dimensional attribute-based modeling systems, broker</w:t>
            </w: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60" w:type="dxa"/>
            <w:vAlign w:val="bottom"/>
          </w:tcPr>
          <w:p>
            <w:pPr>
              <w:ind w:left="20"/>
              <w:spacing w:after="0" w:line="133" w:lineRule="exact"/>
              <w:rPr>
                <w:sz w:val="20"/>
                <w:szCs w:val="20"/>
                <w:color w:val="auto"/>
              </w:rPr>
            </w:pPr>
            <w:r>
              <w:rPr>
                <w:rFonts w:ascii="Arial" w:cs="Arial" w:eastAsia="Arial" w:hAnsi="Arial"/>
                <w:sz w:val="14"/>
                <w:szCs w:val="14"/>
                <w:color w:val="auto"/>
                <w:w w:val="98"/>
              </w:rPr>
              <w:t>quotes, price quotes from market makers, internal models, OAS-</w:t>
            </w: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based models</w:t>
            </w:r>
          </w:p>
        </w:tc>
        <w:tc>
          <w:tcPr>
            <w:tcW w:w="0" w:type="dxa"/>
            <w:vAlign w:val="bottom"/>
          </w:tcPr>
          <w:p>
            <w:pPr>
              <w:spacing w:after="0"/>
              <w:rPr>
                <w:sz w:val="1"/>
                <w:szCs w:val="1"/>
                <w:color w:val="auto"/>
              </w:rPr>
            </w:pPr>
          </w:p>
        </w:tc>
      </w:tr>
      <w:tr>
        <w:trPr>
          <w:trHeight w:val="411"/>
        </w:trPr>
        <w:tc>
          <w:tcPr>
            <w:tcW w:w="2000" w:type="dxa"/>
            <w:vAlign w:val="bottom"/>
          </w:tcPr>
          <w:p>
            <w:pPr>
              <w:spacing w:after="0"/>
              <w:rPr>
                <w:sz w:val="20"/>
                <w:szCs w:val="20"/>
                <w:color w:val="auto"/>
              </w:rPr>
            </w:pPr>
            <w:r>
              <w:rPr>
                <w:rFonts w:ascii="Arial" w:cs="Arial" w:eastAsia="Arial" w:hAnsi="Arial"/>
                <w:sz w:val="14"/>
                <w:szCs w:val="14"/>
                <w:color w:val="auto"/>
              </w:rPr>
              <w:t>Non-U.S. corporate</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494,041</w:t>
            </w:r>
          </w:p>
        </w:tc>
        <w:tc>
          <w:tcPr>
            <w:tcW w:w="80" w:type="dxa"/>
            <w:vAlign w:val="bottom"/>
          </w:tcPr>
          <w:p>
            <w:pPr>
              <w:spacing w:after="0"/>
              <w:rPr>
                <w:sz w:val="24"/>
                <w:szCs w:val="2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w w:val="97"/>
              </w:rPr>
              <w:t>Multi-dimensional attribute-based modeling systems, OAS-based</w:t>
            </w: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models, price quotes from market makers</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0"/>
                <w:szCs w:val="20"/>
                <w:color w:val="auto"/>
              </w:rPr>
            </w:pPr>
            <w:r>
              <w:rPr>
                <w:rFonts w:ascii="Arial" w:cs="Arial" w:eastAsia="Arial" w:hAnsi="Arial"/>
                <w:sz w:val="14"/>
                <w:szCs w:val="14"/>
                <w:color w:val="auto"/>
              </w:rPr>
              <w:t>Other asset-backed</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1,010,942</w:t>
            </w:r>
          </w:p>
        </w:tc>
        <w:tc>
          <w:tcPr>
            <w:tcW w:w="80" w:type="dxa"/>
            <w:vAlign w:val="bottom"/>
          </w:tcPr>
          <w:p>
            <w:pPr>
              <w:spacing w:after="0"/>
              <w:rPr>
                <w:sz w:val="24"/>
                <w:szCs w:val="2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Multi-dimensional attribute-based modeling systems, spread</w:t>
            </w: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60" w:type="dxa"/>
            <w:vAlign w:val="bottom"/>
          </w:tcPr>
          <w:p>
            <w:pPr>
              <w:ind w:left="20"/>
              <w:spacing w:after="0" w:line="133" w:lineRule="exact"/>
              <w:rPr>
                <w:sz w:val="20"/>
                <w:szCs w:val="20"/>
                <w:color w:val="auto"/>
              </w:rPr>
            </w:pPr>
            <w:r>
              <w:rPr>
                <w:rFonts w:ascii="Arial" w:cs="Arial" w:eastAsia="Arial" w:hAnsi="Arial"/>
                <w:sz w:val="14"/>
                <w:szCs w:val="14"/>
                <w:color w:val="auto"/>
                <w:w w:val="99"/>
              </w:rPr>
              <w:t>matrix priced to swap curves, price quotes from market makers,</w:t>
            </w: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internal models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-1288415</wp:posOffset>
            </wp:positionV>
            <wp:extent cx="7165340" cy="280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5340" cy="280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-558800</wp:posOffset>
            </wp:positionV>
            <wp:extent cx="7165340" cy="280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5340" cy="280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-1770380</wp:posOffset>
            </wp:positionV>
            <wp:extent cx="7165340" cy="286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340" cy="2863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Internal Models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Significant inputs</w:t>
      </w:r>
    </w:p>
    <w:p>
      <w:pPr>
        <w:spacing w:after="0" w:line="35" w:lineRule="exact"/>
        <w:rPr>
          <w:sz w:val="20"/>
          <w:szCs w:val="20"/>
          <w:color w:val="auto"/>
        </w:rPr>
      </w:pPr>
    </w:p>
    <w:p>
      <w:pPr>
        <w:ind w:right="20"/>
        <w:spacing w:after="0" w:line="230" w:lineRule="auto"/>
        <w:rPr>
          <w:sz w:val="20"/>
          <w:szCs w:val="20"/>
          <w:color w:val="auto"/>
        </w:rPr>
      </w:pPr>
      <w:r>
        <w:rPr>
          <w:rFonts w:ascii="Arial" w:cs="Arial" w:eastAsia="Arial" w:hAnsi="Arial"/>
          <w:sz w:val="13"/>
          <w:szCs w:val="13"/>
          <w:color w:val="auto"/>
        </w:rPr>
        <w:t>Bid side prices, trade prices, Option Adjusted Spread (“OAS”) to swap curve, Bond Market Association OAS, Treasury Curve, Agency Bullet Curve, maturity to issuer spread</w:t>
      </w:r>
    </w:p>
    <w:p>
      <w:pPr>
        <w:spacing w:after="0" w:line="11" w:lineRule="exact"/>
        <w:rPr>
          <w:sz w:val="20"/>
          <w:szCs w:val="20"/>
          <w:color w:val="auto"/>
        </w:rPr>
      </w:pPr>
    </w:p>
    <w:p>
      <w:pPr>
        <w:ind w:right="140"/>
        <w:spacing w:after="0" w:line="221" w:lineRule="auto"/>
        <w:rPr>
          <w:sz w:val="20"/>
          <w:szCs w:val="20"/>
          <w:color w:val="auto"/>
        </w:rPr>
      </w:pPr>
      <w:r>
        <w:rPr>
          <w:rFonts w:ascii="Arial" w:cs="Arial" w:eastAsia="Arial" w:hAnsi="Arial"/>
          <w:sz w:val="14"/>
          <w:szCs w:val="14"/>
          <w:color w:val="auto"/>
        </w:rPr>
        <w:t>Trade prices, material event notices, Municipal Market Data benchmark yields, broker quotes</w:t>
      </w:r>
    </w:p>
    <w:p>
      <w:pPr>
        <w:spacing w:after="0" w:line="11" w:lineRule="exact"/>
        <w:rPr>
          <w:sz w:val="20"/>
          <w:szCs w:val="20"/>
          <w:color w:val="auto"/>
        </w:rPr>
      </w:pPr>
    </w:p>
    <w:p>
      <w:pPr>
        <w:ind w:right="140"/>
        <w:spacing w:after="0" w:line="230" w:lineRule="auto"/>
        <w:rPr>
          <w:sz w:val="20"/>
          <w:szCs w:val="20"/>
          <w:color w:val="auto"/>
        </w:rPr>
      </w:pPr>
      <w:r>
        <w:rPr>
          <w:rFonts w:ascii="Arial" w:cs="Arial" w:eastAsia="Arial" w:hAnsi="Arial"/>
          <w:sz w:val="13"/>
          <w:szCs w:val="13"/>
          <w:color w:val="auto"/>
        </w:rPr>
        <w:t>Benchmark yields, trade prices, broker quotes, comparative transactions, issuer spreads, bid-offer spread, market research publications, third-party pricing sources</w:t>
      </w:r>
    </w:p>
    <w:p>
      <w:pPr>
        <w:spacing w:after="0" w:line="11" w:lineRule="exact"/>
        <w:rPr>
          <w:sz w:val="20"/>
          <w:szCs w:val="20"/>
          <w:color w:val="auto"/>
        </w:rPr>
      </w:pPr>
    </w:p>
    <w:p>
      <w:pPr>
        <w:ind w:right="440"/>
        <w:spacing w:after="0" w:line="207" w:lineRule="auto"/>
        <w:rPr>
          <w:sz w:val="20"/>
          <w:szCs w:val="20"/>
          <w:color w:val="auto"/>
        </w:rPr>
      </w:pPr>
      <w:r>
        <w:rPr>
          <w:rFonts w:ascii="Arial" w:cs="Arial" w:eastAsia="Arial" w:hAnsi="Arial"/>
          <w:sz w:val="14"/>
          <w:szCs w:val="14"/>
          <w:color w:val="auto"/>
        </w:rPr>
        <w:t>Bid side prices to Treasury Curve, Issuer Curve, which includes sector, quality, duration, OAS percentage and change for spread matrix, trade prices, comparative transactions, Trade Reporting and Compliance Engine (“TRACE”) reports</w:t>
      </w:r>
    </w:p>
    <w:p>
      <w:pPr>
        <w:spacing w:after="0" w:line="14" w:lineRule="exact"/>
        <w:rPr>
          <w:sz w:val="20"/>
          <w:szCs w:val="20"/>
          <w:color w:val="auto"/>
        </w:rPr>
      </w:pPr>
    </w:p>
    <w:p>
      <w:pPr>
        <w:ind w:right="140"/>
        <w:spacing w:after="0" w:line="230" w:lineRule="auto"/>
        <w:rPr>
          <w:sz w:val="20"/>
          <w:szCs w:val="20"/>
          <w:color w:val="auto"/>
        </w:rPr>
      </w:pPr>
      <w:r>
        <w:rPr>
          <w:rFonts w:ascii="Arial" w:cs="Arial" w:eastAsia="Arial" w:hAnsi="Arial"/>
          <w:sz w:val="13"/>
          <w:szCs w:val="13"/>
          <w:color w:val="auto"/>
        </w:rPr>
        <w:t>Benchmark yields, trade prices, broker quotes, comparative transactions, issuer spreads, bid-offer spread, market research publications, third-party pricing sources</w:t>
      </w:r>
    </w:p>
    <w:p>
      <w:pPr>
        <w:spacing w:after="0" w:line="11" w:lineRule="exact"/>
        <w:rPr>
          <w:sz w:val="20"/>
          <w:szCs w:val="20"/>
          <w:color w:val="auto"/>
        </w:rPr>
      </w:pPr>
    </w:p>
    <w:p>
      <w:pPr>
        <w:ind w:right="140"/>
        <w:spacing w:after="0" w:line="223" w:lineRule="auto"/>
        <w:rPr>
          <w:sz w:val="20"/>
          <w:szCs w:val="20"/>
          <w:color w:val="auto"/>
        </w:rPr>
      </w:pPr>
      <w:r>
        <w:rPr>
          <w:rFonts w:ascii="Arial" w:cs="Arial" w:eastAsia="Arial" w:hAnsi="Arial"/>
          <w:sz w:val="13"/>
          <w:szCs w:val="13"/>
          <w:color w:val="auto"/>
        </w:rPr>
        <w:t>Spreads to daily updated swaps curves, spreads derived from trade prices and broker quotes, bid side prices, new issue data, collateral performance, analysis of prepayment speeds, cash flows, collateral loss analytics, historical issue analysis, trade data from market makers, TRACE reports</w:t>
      </w:r>
    </w:p>
    <w:p>
      <w:pPr>
        <w:spacing w:after="0" w:line="484" w:lineRule="exact"/>
        <w:rPr>
          <w:sz w:val="20"/>
          <w:szCs w:val="20"/>
          <w:color w:val="auto"/>
        </w:rPr>
      </w:pPr>
    </w:p>
    <w:p>
      <w:pPr>
        <w:sectPr>
          <w:pgSz w:w="11900" w:h="16838" w:orient="portrait"/>
          <w:cols w:equalWidth="0" w:num="2">
            <w:col w:w="7440" w:space="100"/>
            <w:col w:w="3740"/>
          </w:cols>
          <w:pgMar w:left="300" w:top="205" w:right="319" w:bottom="1440" w:gutter="0" w:footer="0" w:header="0"/>
          <w:type w:val="continuous"/>
        </w:sectPr>
      </w:pPr>
    </w:p>
    <w:p>
      <w:pPr>
        <w:jc w:val="both"/>
        <w:ind w:firstLine="246"/>
        <w:spacing w:after="0" w:line="246" w:lineRule="auto"/>
        <w:rPr>
          <w:sz w:val="20"/>
          <w:szCs w:val="20"/>
          <w:color w:val="auto"/>
        </w:rPr>
      </w:pPr>
      <w:r>
        <w:rPr>
          <w:rFonts w:ascii="Arial" w:cs="Arial" w:eastAsia="Arial" w:hAnsi="Arial"/>
          <w:sz w:val="14"/>
          <w:szCs w:val="14"/>
          <w:color w:val="auto"/>
        </w:rPr>
        <w:t>A portion of our U.S. corporate and non-U.S. corporate securities are valued using internal models. The fair value of these fixed maturity securities was $196.6 million and $88.9 million, respectively, as of December 31, 2021. Internally modeled securities are primarily private fixed maturity securities where we use market observable inputs such as an interest rate yield curve, published credit spreads for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type w:val="continuous"/>
        </w:sectPr>
      </w:pPr>
    </w:p>
    <w:bookmarkStart w:id="145" w:name="page146"/>
    <w:bookmarkEnd w:id="145"/>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Level 3 measurements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Broker Quotes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 portion of our 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$28.0 million as of December 31, 2021.</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Internal Models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$300.7 million as of December 31, 2021.</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tables set forth our assets by class of instrument that are measured at fair value on a recurring basis as of December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309"/>
        </w:trPr>
        <w:tc>
          <w:tcPr>
            <w:tcW w:w="526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4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1"/>
                <w:szCs w:val="11"/>
                <w:b w:val="1"/>
                <w:bCs w:val="1"/>
                <w:color w:val="auto"/>
              </w:rPr>
              <w:t>Total</w:t>
            </w:r>
          </w:p>
        </w:tc>
        <w:tc>
          <w:tcPr>
            <w:tcW w:w="32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Arial" w:cs="Arial" w:eastAsia="Arial" w:hAnsi="Arial"/>
                <w:sz w:val="11"/>
                <w:szCs w:val="11"/>
                <w:b w:val="1"/>
                <w:bCs w:val="1"/>
                <w:color w:val="auto"/>
              </w:rPr>
              <w:t>Level 1</w:t>
            </w:r>
          </w:p>
        </w:tc>
        <w:tc>
          <w:tcPr>
            <w:tcW w:w="3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2</w:t>
            </w:r>
          </w:p>
        </w:tc>
        <w:tc>
          <w:tcPr>
            <w:tcW w:w="320" w:type="dxa"/>
            <w:vAlign w:val="bottom"/>
          </w:tcPr>
          <w:p>
            <w:pPr>
              <w:spacing w:after="0"/>
              <w:rPr>
                <w:sz w:val="24"/>
                <w:szCs w:val="24"/>
                <w:color w:val="auto"/>
              </w:rPr>
            </w:pPr>
          </w:p>
        </w:tc>
        <w:tc>
          <w:tcPr>
            <w:tcW w:w="1120" w:type="dxa"/>
            <w:vAlign w:val="bottom"/>
          </w:tcPr>
          <w:p>
            <w:pPr>
              <w:jc w:val="right"/>
              <w:ind w:right="473"/>
              <w:spacing w:after="0"/>
              <w:rPr>
                <w:sz w:val="20"/>
                <w:szCs w:val="20"/>
                <w:color w:val="auto"/>
              </w:rPr>
            </w:pPr>
            <w:r>
              <w:rPr>
                <w:rFonts w:ascii="Arial" w:cs="Arial" w:eastAsia="Arial" w:hAnsi="Arial"/>
                <w:sz w:val="11"/>
                <w:szCs w:val="11"/>
                <w:b w:val="1"/>
                <w:bCs w:val="1"/>
                <w:color w:val="auto"/>
              </w:rPr>
              <w:t>Level 3</w:t>
            </w:r>
          </w:p>
        </w:tc>
      </w:tr>
      <w:tr>
        <w:trPr>
          <w:trHeight w:val="154"/>
        </w:trPr>
        <w:tc>
          <w:tcPr>
            <w:tcW w:w="526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Fixed maturity securities:</w:t>
            </w: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74"/>
        </w:trPr>
        <w:tc>
          <w:tcPr>
            <w:tcW w:w="5260" w:type="dxa"/>
            <w:vAlign w:val="bottom"/>
          </w:tcPr>
          <w:p>
            <w:pPr>
              <w:ind w:left="180"/>
              <w:spacing w:after="0"/>
              <w:rPr>
                <w:sz w:val="20"/>
                <w:szCs w:val="20"/>
                <w:color w:val="auto"/>
              </w:rPr>
            </w:pPr>
            <w:r>
              <w:rPr>
                <w:rFonts w:ascii="Arial" w:cs="Arial" w:eastAsia="Arial" w:hAnsi="Arial"/>
                <w:sz w:val="14"/>
                <w:szCs w:val="14"/>
                <w:color w:val="auto"/>
              </w:rPr>
              <w:t>U.S. government, agencies and GSEs</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58,408</w:t>
            </w:r>
          </w:p>
        </w:tc>
        <w:tc>
          <w:tcPr>
            <w:tcW w:w="80" w:type="dxa"/>
            <w:vAlign w:val="bottom"/>
          </w:tcPr>
          <w:p>
            <w:pPr>
              <w:spacing w:after="0"/>
              <w:rPr>
                <w:sz w:val="15"/>
                <w:szCs w:val="15"/>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58,408</w:t>
            </w:r>
          </w:p>
        </w:tc>
        <w:tc>
          <w:tcPr>
            <w:tcW w:w="8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political subdivisions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5260" w:type="dxa"/>
            <w:vAlign w:val="bottom"/>
          </w:tcPr>
          <w:p>
            <w:pPr>
              <w:ind w:left="180"/>
              <w:spacing w:after="0"/>
              <w:rPr>
                <w:sz w:val="20"/>
                <w:szCs w:val="20"/>
                <w:color w:val="auto"/>
              </w:rPr>
            </w:pPr>
            <w:r>
              <w:rPr>
                <w:rFonts w:ascii="Arial" w:cs="Arial" w:eastAsia="Arial" w:hAnsi="Arial"/>
                <w:sz w:val="14"/>
                <w:szCs w:val="14"/>
                <w:color w:val="auto"/>
              </w:rPr>
              <w:t>Non-U.S. government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corporate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2,945,303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2,724,570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220,733</w:t>
            </w:r>
          </w:p>
        </w:tc>
      </w:tr>
      <w:tr>
        <w:trPr>
          <w:trHeight w:val="174"/>
        </w:trPr>
        <w:tc>
          <w:tcPr>
            <w:tcW w:w="5260" w:type="dxa"/>
            <w:vAlign w:val="bottom"/>
          </w:tcPr>
          <w:p>
            <w:pPr>
              <w:ind w:left="180"/>
              <w:spacing w:after="0"/>
              <w:rPr>
                <w:sz w:val="20"/>
                <w:szCs w:val="20"/>
                <w:color w:val="auto"/>
              </w:rPr>
            </w:pPr>
            <w:r>
              <w:rPr>
                <w:rFonts w:ascii="Arial" w:cs="Arial" w:eastAsia="Arial" w:hAnsi="Arial"/>
                <w:sz w:val="14"/>
                <w:szCs w:val="14"/>
                <w:color w:val="auto"/>
              </w:rPr>
              <w:t>Non-U.S. corporate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666,594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582,930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83,664</w:t>
            </w:r>
          </w:p>
        </w:tc>
      </w:tr>
      <w:tr>
        <w:trPr>
          <w:trHeight w:val="174"/>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asset-backed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1,035,165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1,010,942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24,223</w:t>
            </w:r>
          </w:p>
        </w:tc>
      </w:tr>
      <w:tr>
        <w:trPr>
          <w:trHeight w:val="165"/>
        </w:trPr>
        <w:tc>
          <w:tcPr>
            <w:tcW w:w="5260" w:type="dxa"/>
            <w:vAlign w:val="bottom"/>
          </w:tcPr>
          <w:p>
            <w:pPr>
              <w:ind w:left="20"/>
              <w:spacing w:after="0"/>
              <w:rPr>
                <w:sz w:val="20"/>
                <w:szCs w:val="20"/>
                <w:color w:val="auto"/>
              </w:rPr>
            </w:pPr>
            <w:r>
              <w:rPr>
                <w:rFonts w:ascii="Arial" w:cs="Arial" w:eastAsia="Arial" w:hAnsi="Arial"/>
                <w:sz w:val="14"/>
                <w:szCs w:val="14"/>
                <w:color w:val="auto"/>
              </w:rPr>
              <w:t>Total fixed maturity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5,266,339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4,937,719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328,620</w:t>
            </w:r>
          </w:p>
        </w:tc>
      </w:tr>
      <w:tr>
        <w:trPr>
          <w:trHeight w:val="190"/>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5,266,339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4,937,719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328,620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6" w:name="page147"/>
    <w:bookmarkEnd w:id="146"/>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309"/>
        </w:trPr>
        <w:tc>
          <w:tcPr>
            <w:tcW w:w="526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4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1"/>
                <w:szCs w:val="11"/>
                <w:b w:val="1"/>
                <w:bCs w:val="1"/>
                <w:color w:val="auto"/>
              </w:rPr>
              <w:t>Total</w:t>
            </w:r>
          </w:p>
        </w:tc>
        <w:tc>
          <w:tcPr>
            <w:tcW w:w="32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Arial" w:cs="Arial" w:eastAsia="Arial" w:hAnsi="Arial"/>
                <w:sz w:val="11"/>
                <w:szCs w:val="11"/>
                <w:b w:val="1"/>
                <w:bCs w:val="1"/>
                <w:color w:val="auto"/>
              </w:rPr>
              <w:t>Level 1</w:t>
            </w:r>
          </w:p>
        </w:tc>
        <w:tc>
          <w:tcPr>
            <w:tcW w:w="3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2</w:t>
            </w:r>
          </w:p>
        </w:tc>
        <w:tc>
          <w:tcPr>
            <w:tcW w:w="320" w:type="dxa"/>
            <w:vAlign w:val="bottom"/>
          </w:tcPr>
          <w:p>
            <w:pPr>
              <w:spacing w:after="0"/>
              <w:rPr>
                <w:sz w:val="24"/>
                <w:szCs w:val="24"/>
                <w:color w:val="auto"/>
              </w:rPr>
            </w:pPr>
          </w:p>
        </w:tc>
        <w:tc>
          <w:tcPr>
            <w:tcW w:w="1120" w:type="dxa"/>
            <w:vAlign w:val="bottom"/>
          </w:tcPr>
          <w:p>
            <w:pPr>
              <w:jc w:val="right"/>
              <w:ind w:right="473"/>
              <w:spacing w:after="0"/>
              <w:rPr>
                <w:sz w:val="20"/>
                <w:szCs w:val="20"/>
                <w:color w:val="auto"/>
              </w:rPr>
            </w:pPr>
            <w:r>
              <w:rPr>
                <w:rFonts w:ascii="Arial" w:cs="Arial" w:eastAsia="Arial" w:hAnsi="Arial"/>
                <w:sz w:val="11"/>
                <w:szCs w:val="11"/>
                <w:b w:val="1"/>
                <w:bCs w:val="1"/>
                <w:color w:val="auto"/>
              </w:rPr>
              <w:t>Level 3</w:t>
            </w:r>
          </w:p>
        </w:tc>
      </w:tr>
      <w:tr>
        <w:trPr>
          <w:trHeight w:val="154"/>
        </w:trPr>
        <w:tc>
          <w:tcPr>
            <w:tcW w:w="526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Fixed maturity securities:</w:t>
            </w: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74"/>
        </w:trPr>
        <w:tc>
          <w:tcPr>
            <w:tcW w:w="5260" w:type="dxa"/>
            <w:vAlign w:val="bottom"/>
          </w:tcPr>
          <w:p>
            <w:pPr>
              <w:ind w:left="180"/>
              <w:spacing w:after="0"/>
              <w:rPr>
                <w:sz w:val="20"/>
                <w:szCs w:val="20"/>
                <w:color w:val="auto"/>
              </w:rPr>
            </w:pPr>
            <w:r>
              <w:rPr>
                <w:rFonts w:ascii="Arial" w:cs="Arial" w:eastAsia="Arial" w:hAnsi="Arial"/>
                <w:sz w:val="14"/>
                <w:szCs w:val="14"/>
                <w:color w:val="auto"/>
              </w:rPr>
              <w:t>U.S. government, agencies and GSEs</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138,224</w:t>
            </w:r>
          </w:p>
        </w:tc>
        <w:tc>
          <w:tcPr>
            <w:tcW w:w="80" w:type="dxa"/>
            <w:vAlign w:val="bottom"/>
          </w:tcPr>
          <w:p>
            <w:pPr>
              <w:spacing w:after="0"/>
              <w:rPr>
                <w:sz w:val="15"/>
                <w:szCs w:val="15"/>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138,224</w:t>
            </w:r>
          </w:p>
        </w:tc>
        <w:tc>
          <w:tcPr>
            <w:tcW w:w="8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political subdivisions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187,377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187,377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5260" w:type="dxa"/>
            <w:vAlign w:val="bottom"/>
          </w:tcPr>
          <w:p>
            <w:pPr>
              <w:ind w:left="180"/>
              <w:spacing w:after="0"/>
              <w:rPr>
                <w:sz w:val="20"/>
                <w:szCs w:val="20"/>
                <w:color w:val="auto"/>
              </w:rPr>
            </w:pPr>
            <w:r>
              <w:rPr>
                <w:rFonts w:ascii="Arial" w:cs="Arial" w:eastAsia="Arial" w:hAnsi="Arial"/>
                <w:sz w:val="14"/>
                <w:szCs w:val="14"/>
                <w:color w:val="auto"/>
              </w:rPr>
              <w:t>Non-U.S. government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31,031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corporate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2,888,625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2,769,252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119,373</w:t>
            </w:r>
          </w:p>
        </w:tc>
      </w:tr>
      <w:tr>
        <w:trPr>
          <w:trHeight w:val="174"/>
        </w:trPr>
        <w:tc>
          <w:tcPr>
            <w:tcW w:w="5260" w:type="dxa"/>
            <w:vAlign w:val="bottom"/>
          </w:tcPr>
          <w:p>
            <w:pPr>
              <w:ind w:left="180"/>
              <w:spacing w:after="0"/>
              <w:rPr>
                <w:sz w:val="20"/>
                <w:szCs w:val="20"/>
                <w:color w:val="auto"/>
              </w:rPr>
            </w:pPr>
            <w:r>
              <w:rPr>
                <w:rFonts w:ascii="Arial" w:cs="Arial" w:eastAsia="Arial" w:hAnsi="Arial"/>
                <w:sz w:val="14"/>
                <w:szCs w:val="14"/>
                <w:color w:val="auto"/>
              </w:rPr>
              <w:t>Non-U.S. corporate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607,669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511,918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95,751</w:t>
            </w:r>
          </w:p>
        </w:tc>
      </w:tr>
      <w:tr>
        <w:trPr>
          <w:trHeight w:val="174"/>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asset-backed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1,193,670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1,179,889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13,781</w:t>
            </w:r>
          </w:p>
        </w:tc>
      </w:tr>
      <w:tr>
        <w:trPr>
          <w:trHeight w:val="165"/>
        </w:trPr>
        <w:tc>
          <w:tcPr>
            <w:tcW w:w="5260" w:type="dxa"/>
            <w:vAlign w:val="bottom"/>
          </w:tcPr>
          <w:p>
            <w:pPr>
              <w:ind w:left="20"/>
              <w:spacing w:after="0"/>
              <w:rPr>
                <w:sz w:val="20"/>
                <w:szCs w:val="20"/>
                <w:color w:val="auto"/>
              </w:rPr>
            </w:pPr>
            <w:r>
              <w:rPr>
                <w:rFonts w:ascii="Arial" w:cs="Arial" w:eastAsia="Arial" w:hAnsi="Arial"/>
                <w:sz w:val="14"/>
                <w:szCs w:val="14"/>
                <w:color w:val="auto"/>
              </w:rPr>
              <w:t>Total fixed maturity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5,046,596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4,817,691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228,905</w:t>
            </w:r>
          </w:p>
        </w:tc>
      </w:tr>
      <w:tr>
        <w:trPr>
          <w:trHeight w:val="190"/>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5,046,596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4,817,691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228,905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had no liabilities recorded at fair value as of December 31, 2021 and 2020.</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tables present additional information about assets measured at fair value on a recurring basis and for which we have utilized significant unobservable (Level 3) inputs to</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0" w:type="dxa"/>
            <w:vAlign w:val="bottom"/>
          </w:tcPr>
          <w:p>
            <w:pPr>
              <w:spacing w:after="0"/>
              <w:rPr>
                <w:sz w:val="20"/>
                <w:szCs w:val="20"/>
                <w:color w:val="auto"/>
              </w:rPr>
            </w:pPr>
            <w:r>
              <w:rPr>
                <w:rFonts w:ascii="Arial" w:cs="Arial" w:eastAsia="Arial" w:hAnsi="Arial"/>
                <w:sz w:val="14"/>
                <w:szCs w:val="14"/>
                <w:color w:val="auto"/>
              </w:rPr>
              <w:t>determine</w:t>
            </w:r>
          </w:p>
        </w:tc>
        <w:tc>
          <w:tcPr>
            <w:tcW w:w="340" w:type="dxa"/>
            <w:vAlign w:val="bottom"/>
          </w:tcPr>
          <w:p>
            <w:pPr>
              <w:spacing w:after="0"/>
              <w:rPr>
                <w:sz w:val="14"/>
                <w:szCs w:val="14"/>
                <w:color w:val="auto"/>
              </w:rPr>
            </w:pPr>
          </w:p>
        </w:tc>
        <w:tc>
          <w:tcPr>
            <w:tcW w:w="740" w:type="dxa"/>
            <w:vAlign w:val="bottom"/>
            <w:gridSpan w:val="3"/>
          </w:tcPr>
          <w:p>
            <w:pPr>
              <w:ind w:left="440"/>
              <w:spacing w:after="0"/>
              <w:rPr>
                <w:sz w:val="20"/>
                <w:szCs w:val="20"/>
                <w:color w:val="auto"/>
              </w:rPr>
            </w:pPr>
            <w:r>
              <w:rPr>
                <w:rFonts w:ascii="Arial" w:cs="Arial" w:eastAsia="Arial" w:hAnsi="Arial"/>
                <w:sz w:val="14"/>
                <w:szCs w:val="14"/>
                <w:color w:val="auto"/>
              </w:rPr>
              <w:t>fair</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color w:val="auto"/>
                <w:w w:val="95"/>
              </w:rPr>
              <w:t>value</w:t>
            </w:r>
          </w:p>
        </w:tc>
        <w:tc>
          <w:tcPr>
            <w:tcW w:w="36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as</w:t>
            </w:r>
          </w:p>
        </w:tc>
        <w:tc>
          <w:tcPr>
            <w:tcW w:w="340" w:type="dxa"/>
            <w:vAlign w:val="bottom"/>
          </w:tcPr>
          <w:p>
            <w:pPr>
              <w:spacing w:after="0"/>
              <w:rPr>
                <w:sz w:val="14"/>
                <w:szCs w:val="14"/>
                <w:color w:val="auto"/>
              </w:rPr>
            </w:pPr>
          </w:p>
        </w:tc>
        <w:tc>
          <w:tcPr>
            <w:tcW w:w="400" w:type="dxa"/>
            <w:vAlign w:val="bottom"/>
            <w:gridSpan w:val="2"/>
          </w:tcPr>
          <w:p>
            <w:pPr>
              <w:ind w:left="280"/>
              <w:spacing w:after="0"/>
              <w:rPr>
                <w:sz w:val="20"/>
                <w:szCs w:val="20"/>
                <w:color w:val="auto"/>
              </w:rPr>
            </w:pPr>
            <w:r>
              <w:rPr>
                <w:rFonts w:ascii="Arial" w:cs="Arial" w:eastAsia="Arial" w:hAnsi="Arial"/>
                <w:sz w:val="14"/>
                <w:szCs w:val="14"/>
                <w:color w:val="auto"/>
                <w:w w:val="85"/>
              </w:rPr>
              <w:t>of</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or</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for</w:t>
            </w:r>
          </w:p>
        </w:tc>
        <w:tc>
          <w:tcPr>
            <w:tcW w:w="36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color w:val="auto"/>
              </w:rPr>
              <w:t>the</w:t>
            </w:r>
          </w:p>
        </w:tc>
        <w:tc>
          <w:tcPr>
            <w:tcW w:w="300" w:type="dxa"/>
            <w:vAlign w:val="bottom"/>
          </w:tcPr>
          <w:p>
            <w:pPr>
              <w:spacing w:after="0"/>
              <w:rPr>
                <w:sz w:val="14"/>
                <w:szCs w:val="14"/>
                <w:color w:val="auto"/>
              </w:rPr>
            </w:pPr>
          </w:p>
        </w:tc>
        <w:tc>
          <w:tcPr>
            <w:tcW w:w="760" w:type="dxa"/>
            <w:vAlign w:val="bottom"/>
            <w:gridSpan w:val="3"/>
          </w:tcPr>
          <w:p>
            <w:pPr>
              <w:ind w:left="380"/>
              <w:spacing w:after="0"/>
              <w:rPr>
                <w:sz w:val="20"/>
                <w:szCs w:val="20"/>
                <w:color w:val="auto"/>
              </w:rPr>
            </w:pPr>
            <w:r>
              <w:rPr>
                <w:rFonts w:ascii="Arial" w:cs="Arial" w:eastAsia="Arial" w:hAnsi="Arial"/>
                <w:sz w:val="14"/>
                <w:szCs w:val="14"/>
                <w:color w:val="auto"/>
              </w:rPr>
              <w:t>dates</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indicated:</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5"/>
          </w:tcPr>
          <w:p>
            <w:pPr>
              <w:ind w:left="20"/>
              <w:spacing w:after="0"/>
              <w:rPr>
                <w:sz w:val="20"/>
                <w:szCs w:val="20"/>
                <w:color w:val="auto"/>
              </w:rPr>
            </w:pPr>
            <w:r>
              <w:rPr>
                <w:rFonts w:ascii="Arial" w:cs="Arial" w:eastAsia="Arial" w:hAnsi="Arial"/>
                <w:sz w:val="8"/>
                <w:szCs w:val="8"/>
                <w:b w:val="1"/>
                <w:bCs w:val="1"/>
                <w:color w:val="auto"/>
              </w:rPr>
              <w:t>Total realized and unrealized gains</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8"/>
                <w:szCs w:val="8"/>
                <w:b w:val="1"/>
                <w:bCs w:val="1"/>
                <w:color w:val="auto"/>
              </w:rPr>
              <w:t>Total gains</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7"/>
              </w:rPr>
              <w:t>Balance</w:t>
            </w: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ind w:left="360"/>
              <w:spacing w:after="0"/>
              <w:rPr>
                <w:sz w:val="20"/>
                <w:szCs w:val="20"/>
                <w:color w:val="auto"/>
              </w:rPr>
            </w:pPr>
            <w:r>
              <w:rPr>
                <w:rFonts w:ascii="Arial" w:cs="Arial" w:eastAsia="Arial" w:hAnsi="Arial"/>
                <w:sz w:val="8"/>
                <w:szCs w:val="8"/>
                <w:b w:val="1"/>
                <w:bCs w:val="1"/>
                <w:color w:val="auto"/>
              </w:rPr>
              <w:t>(losses)</w:t>
            </w: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8"/>
                <w:szCs w:val="8"/>
                <w:b w:val="1"/>
                <w:bCs w:val="1"/>
                <w:color w:val="auto"/>
                <w:w w:val="97"/>
              </w:rPr>
              <w:t>Balance</w:t>
            </w:r>
          </w:p>
        </w:tc>
        <w:tc>
          <w:tcPr>
            <w:tcW w:w="1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8"/>
                <w:szCs w:val="8"/>
                <w:b w:val="1"/>
                <w:bCs w:val="1"/>
                <w:color w:val="auto"/>
                <w:w w:val="94"/>
              </w:rPr>
              <w:t>(losses) attributable to assets still held</w:t>
            </w:r>
          </w:p>
        </w:tc>
        <w:tc>
          <w:tcPr>
            <w:tcW w:w="0" w:type="dxa"/>
            <w:vAlign w:val="bottom"/>
          </w:tcPr>
          <w:p>
            <w:pPr>
              <w:spacing w:after="0"/>
              <w:rPr>
                <w:sz w:val="1"/>
                <w:szCs w:val="1"/>
                <w:color w:val="auto"/>
              </w:rPr>
            </w:pPr>
          </w:p>
        </w:tc>
      </w:tr>
      <w:tr>
        <w:trPr>
          <w:trHeight w:val="23"/>
        </w:trPr>
        <w:tc>
          <w:tcPr>
            <w:tcW w:w="780" w:type="dxa"/>
            <w:vAlign w:val="bottom"/>
            <w:vMerge w:val="restart"/>
          </w:tcPr>
          <w:p>
            <w:pPr>
              <w:ind w:left="260"/>
              <w:spacing w:after="0"/>
              <w:rPr>
                <w:sz w:val="20"/>
                <w:szCs w:val="20"/>
                <w:color w:val="auto"/>
              </w:rPr>
            </w:pPr>
            <w:r>
              <w:rPr>
                <w:rFonts w:ascii="Arial" w:cs="Arial" w:eastAsia="Arial" w:hAnsi="Arial"/>
                <w:sz w:val="8"/>
                <w:szCs w:val="8"/>
                <w:b w:val="1"/>
                <w:bCs w:val="1"/>
                <w:color w:val="auto"/>
              </w:rPr>
              <w:t>2021</w:t>
            </w:r>
          </w:p>
        </w:tc>
        <w:tc>
          <w:tcPr>
            <w:tcW w:w="34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Included</w:t>
            </w: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w w:val="93"/>
              </w:rPr>
              <w:t>Transfers</w:t>
            </w:r>
          </w:p>
        </w:tc>
        <w:tc>
          <w:tcPr>
            <w:tcW w:w="360" w:type="dxa"/>
            <w:vAlign w:val="bottom"/>
          </w:tcPr>
          <w:p>
            <w:pPr>
              <w:spacing w:after="0"/>
              <w:rPr>
                <w:sz w:val="2"/>
                <w:szCs w:val="2"/>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3"/>
              </w:rPr>
              <w:t>Transfers</w:t>
            </w:r>
          </w:p>
        </w:tc>
        <w:tc>
          <w:tcPr>
            <w:tcW w:w="3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7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gridSpan w:val="3"/>
          </w:tcPr>
          <w:p>
            <w:pPr>
              <w:jc w:val="center"/>
              <w:ind w:right="280"/>
              <w:spacing w:after="0" w:line="72" w:lineRule="exact"/>
              <w:rPr>
                <w:sz w:val="20"/>
                <w:szCs w:val="20"/>
                <w:color w:val="auto"/>
              </w:rPr>
            </w:pPr>
            <w:r>
              <w:rPr>
                <w:rFonts w:ascii="Arial" w:cs="Arial" w:eastAsia="Arial" w:hAnsi="Arial"/>
                <w:sz w:val="8"/>
                <w:szCs w:val="8"/>
                <w:b w:val="1"/>
                <w:bCs w:val="1"/>
                <w:color w:val="auto"/>
                <w:w w:val="96"/>
              </w:rPr>
              <w:t>as of</w:t>
            </w:r>
          </w:p>
        </w:tc>
        <w:tc>
          <w:tcPr>
            <w:tcW w:w="20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Included</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3"/>
          </w:tcPr>
          <w:p>
            <w:pPr>
              <w:jc w:val="center"/>
              <w:ind w:right="220"/>
              <w:spacing w:after="0" w:line="72" w:lineRule="exact"/>
              <w:rPr>
                <w:sz w:val="20"/>
                <w:szCs w:val="20"/>
                <w:color w:val="auto"/>
              </w:rPr>
            </w:pPr>
            <w:r>
              <w:rPr>
                <w:rFonts w:ascii="Arial" w:cs="Arial" w:eastAsia="Arial" w:hAnsi="Arial"/>
                <w:sz w:val="8"/>
                <w:szCs w:val="8"/>
                <w:b w:val="1"/>
                <w:bCs w:val="1"/>
                <w:color w:val="auto"/>
                <w:w w:val="96"/>
              </w:rPr>
              <w:t>as of</w:t>
            </w:r>
          </w:p>
        </w:tc>
        <w:tc>
          <w:tcPr>
            <w:tcW w:w="200" w:type="dxa"/>
            <w:vAlign w:val="bottom"/>
          </w:tcPr>
          <w:p>
            <w:pPr>
              <w:spacing w:after="0"/>
              <w:rPr>
                <w:sz w:val="6"/>
                <w:szCs w:val="6"/>
                <w:color w:val="auto"/>
              </w:rPr>
            </w:pPr>
          </w:p>
        </w:tc>
        <w:tc>
          <w:tcPr>
            <w:tcW w:w="460" w:type="dxa"/>
            <w:vAlign w:val="bottom"/>
            <w:vMerge w:val="restart"/>
          </w:tcPr>
          <w:p>
            <w:pPr>
              <w:jc w:val="right"/>
              <w:ind w:right="20"/>
              <w:spacing w:after="0"/>
              <w:rPr>
                <w:sz w:val="20"/>
                <w:szCs w:val="20"/>
                <w:color w:val="auto"/>
              </w:rPr>
            </w:pPr>
            <w:r>
              <w:rPr>
                <w:rFonts w:ascii="Arial" w:cs="Arial" w:eastAsia="Arial" w:hAnsi="Arial"/>
                <w:sz w:val="8"/>
                <w:szCs w:val="8"/>
                <w:b w:val="1"/>
                <w:bCs w:val="1"/>
                <w:color w:val="auto"/>
                <w:w w:val="89"/>
              </w:rPr>
              <w:t>Included in</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80" w:type="dxa"/>
            <w:vAlign w:val="bottom"/>
          </w:tcPr>
          <w:p>
            <w:pPr>
              <w:ind w:left="260"/>
              <w:spacing w:after="0" w:line="72" w:lineRule="exact"/>
              <w:rPr>
                <w:sz w:val="20"/>
                <w:szCs w:val="20"/>
                <w:color w:val="auto"/>
              </w:rPr>
            </w:pPr>
            <w:r>
              <w:rPr>
                <w:rFonts w:ascii="Arial" w:cs="Arial" w:eastAsia="Arial" w:hAnsi="Arial"/>
                <w:sz w:val="8"/>
                <w:szCs w:val="8"/>
                <w:b w:val="1"/>
                <w:bCs w:val="1"/>
                <w:color w:val="auto"/>
              </w:rPr>
              <w:t>(Amounts</w:t>
            </w:r>
          </w:p>
        </w:tc>
        <w:tc>
          <w:tcPr>
            <w:tcW w:w="340" w:type="dxa"/>
            <w:vAlign w:val="bottom"/>
          </w:tcPr>
          <w:p>
            <w:pPr>
              <w:spacing w:after="0"/>
              <w:rPr>
                <w:sz w:val="6"/>
                <w:szCs w:val="6"/>
                <w:color w:val="auto"/>
              </w:rPr>
            </w:pPr>
          </w:p>
        </w:tc>
        <w:tc>
          <w:tcPr>
            <w:tcW w:w="740" w:type="dxa"/>
            <w:vAlign w:val="bottom"/>
            <w:gridSpan w:val="3"/>
          </w:tcPr>
          <w:p>
            <w:pPr>
              <w:jc w:val="center"/>
              <w:ind w:right="280"/>
              <w:spacing w:after="0" w:line="72" w:lineRule="exact"/>
              <w:rPr>
                <w:sz w:val="20"/>
                <w:szCs w:val="20"/>
                <w:color w:val="auto"/>
              </w:rPr>
            </w:pPr>
            <w:r>
              <w:rPr>
                <w:rFonts w:ascii="Arial" w:cs="Arial" w:eastAsia="Arial" w:hAnsi="Arial"/>
                <w:sz w:val="8"/>
                <w:szCs w:val="8"/>
                <w:b w:val="1"/>
                <w:bCs w:val="1"/>
                <w:color w:val="auto"/>
                <w:w w:val="95"/>
              </w:rPr>
              <w:t>January 1,</w:t>
            </w:r>
          </w:p>
        </w:tc>
        <w:tc>
          <w:tcPr>
            <w:tcW w:w="700" w:type="dxa"/>
            <w:vAlign w:val="bottom"/>
            <w:gridSpan w:val="3"/>
          </w:tcPr>
          <w:p>
            <w:pPr>
              <w:ind w:left="160"/>
              <w:spacing w:after="0" w:line="72" w:lineRule="exact"/>
              <w:rPr>
                <w:sz w:val="20"/>
                <w:szCs w:val="20"/>
                <w:color w:val="auto"/>
              </w:rPr>
            </w:pPr>
            <w:r>
              <w:rPr>
                <w:rFonts w:ascii="Arial" w:cs="Arial" w:eastAsia="Arial" w:hAnsi="Arial"/>
                <w:sz w:val="8"/>
                <w:szCs w:val="8"/>
                <w:b w:val="1"/>
                <w:bCs w:val="1"/>
                <w:color w:val="auto"/>
              </w:rPr>
              <w:t>in net</w:t>
            </w:r>
          </w:p>
        </w:tc>
        <w:tc>
          <w:tcPr>
            <w:tcW w:w="3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3"/>
              </w:rPr>
              <w:t>Purchases</w:t>
            </w:r>
          </w:p>
        </w:tc>
        <w:tc>
          <w:tcPr>
            <w:tcW w:w="340" w:type="dxa"/>
            <w:vAlign w:val="bottom"/>
          </w:tcPr>
          <w:p>
            <w:pPr>
              <w:spacing w:after="0"/>
              <w:rPr>
                <w:sz w:val="6"/>
                <w:szCs w:val="6"/>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Sales</w:t>
            </w:r>
          </w:p>
        </w:tc>
        <w:tc>
          <w:tcPr>
            <w:tcW w:w="300" w:type="dxa"/>
            <w:vAlign w:val="bottom"/>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Issuance</w:t>
            </w:r>
          </w:p>
        </w:tc>
        <w:tc>
          <w:tcPr>
            <w:tcW w:w="320" w:type="dxa"/>
            <w:vAlign w:val="bottom"/>
          </w:tcPr>
          <w:p>
            <w:pPr>
              <w:spacing w:after="0"/>
              <w:rPr>
                <w:sz w:val="6"/>
                <w:szCs w:val="6"/>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Settlement</w:t>
            </w:r>
          </w:p>
        </w:tc>
        <w:tc>
          <w:tcPr>
            <w:tcW w:w="300" w:type="dxa"/>
            <w:vAlign w:val="bottom"/>
          </w:tcPr>
          <w:p>
            <w:pPr>
              <w:spacing w:after="0"/>
              <w:rPr>
                <w:sz w:val="6"/>
                <w:szCs w:val="6"/>
                <w:color w:val="auto"/>
              </w:rPr>
            </w:pPr>
          </w:p>
        </w:tc>
        <w:tc>
          <w:tcPr>
            <w:tcW w:w="6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5"/>
              </w:rPr>
              <w:t>into</w:t>
            </w:r>
          </w:p>
        </w:tc>
        <w:tc>
          <w:tcPr>
            <w:tcW w:w="360" w:type="dxa"/>
            <w:vAlign w:val="bottom"/>
          </w:tcPr>
          <w:p>
            <w:pPr>
              <w:spacing w:after="0"/>
              <w:rPr>
                <w:sz w:val="6"/>
                <w:szCs w:val="6"/>
                <w:color w:val="auto"/>
              </w:rPr>
            </w:pPr>
          </w:p>
        </w:tc>
        <w:tc>
          <w:tcPr>
            <w:tcW w:w="60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w w:val="98"/>
              </w:rPr>
              <w:t>out of</w:t>
            </w:r>
          </w:p>
        </w:tc>
        <w:tc>
          <w:tcPr>
            <w:tcW w:w="300" w:type="dxa"/>
            <w:vAlign w:val="bottom"/>
          </w:tcPr>
          <w:p>
            <w:pPr>
              <w:spacing w:after="0"/>
              <w:rPr>
                <w:sz w:val="6"/>
                <w:szCs w:val="6"/>
                <w:color w:val="auto"/>
              </w:rPr>
            </w:pPr>
          </w:p>
        </w:tc>
        <w:tc>
          <w:tcPr>
            <w:tcW w:w="760" w:type="dxa"/>
            <w:vAlign w:val="bottom"/>
            <w:gridSpan w:val="3"/>
          </w:tcPr>
          <w:p>
            <w:pPr>
              <w:jc w:val="center"/>
              <w:ind w:right="220"/>
              <w:spacing w:after="0" w:line="72" w:lineRule="exact"/>
              <w:rPr>
                <w:sz w:val="20"/>
                <w:szCs w:val="20"/>
                <w:color w:val="auto"/>
              </w:rPr>
            </w:pPr>
            <w:r>
              <w:rPr>
                <w:rFonts w:ascii="Arial" w:cs="Arial" w:eastAsia="Arial" w:hAnsi="Arial"/>
                <w:sz w:val="8"/>
                <w:szCs w:val="8"/>
                <w:b w:val="1"/>
                <w:bCs w:val="1"/>
                <w:color w:val="auto"/>
                <w:w w:val="96"/>
              </w:rPr>
              <w:t>December 31,</w:t>
            </w: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w w:val="91"/>
              </w:rPr>
              <w:t>Included in OCI</w:t>
            </w:r>
          </w:p>
        </w:tc>
        <w:tc>
          <w:tcPr>
            <w:tcW w:w="0" w:type="dxa"/>
            <w:vAlign w:val="bottom"/>
          </w:tcPr>
          <w:p>
            <w:pPr>
              <w:spacing w:after="0"/>
              <w:rPr>
                <w:sz w:val="1"/>
                <w:szCs w:val="1"/>
                <w:color w:val="auto"/>
              </w:rPr>
            </w:pPr>
          </w:p>
        </w:tc>
      </w:tr>
      <w:tr>
        <w:trPr>
          <w:trHeight w:val="103"/>
        </w:trPr>
        <w:tc>
          <w:tcPr>
            <w:tcW w:w="780" w:type="dxa"/>
            <w:vAlign w:val="bottom"/>
          </w:tcPr>
          <w:p>
            <w:pPr>
              <w:ind w:left="260"/>
              <w:spacing w:after="0"/>
              <w:rPr>
                <w:sz w:val="20"/>
                <w:szCs w:val="20"/>
                <w:color w:val="auto"/>
              </w:rPr>
            </w:pPr>
            <w:r>
              <w:rPr>
                <w:rFonts w:ascii="Arial" w:cs="Arial" w:eastAsia="Arial" w:hAnsi="Arial"/>
                <w:sz w:val="8"/>
                <w:szCs w:val="8"/>
                <w:b w:val="1"/>
                <w:bCs w:val="1"/>
                <w:color w:val="auto"/>
                <w:w w:val="95"/>
              </w:rPr>
              <w:t>in thousands)</w:t>
            </w:r>
          </w:p>
        </w:tc>
        <w:tc>
          <w:tcPr>
            <w:tcW w:w="340" w:type="dxa"/>
            <w:vAlign w:val="bottom"/>
          </w:tcPr>
          <w:p>
            <w:pPr>
              <w:spacing w:after="0"/>
              <w:rPr>
                <w:sz w:val="8"/>
                <w:szCs w:val="8"/>
                <w:color w:val="auto"/>
              </w:rPr>
            </w:pPr>
          </w:p>
        </w:tc>
        <w:tc>
          <w:tcPr>
            <w:tcW w:w="560" w:type="dxa"/>
            <w:vAlign w:val="bottom"/>
          </w:tcPr>
          <w:p>
            <w:pPr>
              <w:jc w:val="center"/>
              <w:ind w:right="77"/>
              <w:spacing w:after="0"/>
              <w:rPr>
                <w:sz w:val="20"/>
                <w:szCs w:val="20"/>
                <w:color w:val="auto"/>
              </w:rPr>
            </w:pPr>
            <w:r>
              <w:rPr>
                <w:rFonts w:ascii="Arial" w:cs="Arial" w:eastAsia="Arial" w:hAnsi="Arial"/>
                <w:sz w:val="8"/>
                <w:szCs w:val="8"/>
                <w:b w:val="1"/>
                <w:bCs w:val="1"/>
                <w:color w:val="auto"/>
                <w:w w:val="89"/>
              </w:rPr>
              <w:t>2021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tcPr>
          <w:p>
            <w:pPr>
              <w:ind w:left="120"/>
              <w:spacing w:after="0"/>
              <w:rPr>
                <w:sz w:val="20"/>
                <w:szCs w:val="20"/>
                <w:color w:val="auto"/>
              </w:rPr>
            </w:pPr>
            <w:r>
              <w:rPr>
                <w:rFonts w:ascii="Arial" w:cs="Arial" w:eastAsia="Arial" w:hAnsi="Arial"/>
                <w:sz w:val="8"/>
                <w:szCs w:val="8"/>
                <w:b w:val="1"/>
                <w:bCs w:val="1"/>
                <w:color w:val="auto"/>
              </w:rPr>
              <w:t>income</w:t>
            </w:r>
          </w:p>
        </w:tc>
        <w:tc>
          <w:tcPr>
            <w:tcW w:w="320" w:type="dxa"/>
            <w:vAlign w:val="bottom"/>
          </w:tcPr>
          <w:p>
            <w:pPr>
              <w:spacing w:after="0"/>
              <w:rPr>
                <w:sz w:val="8"/>
                <w:szCs w:val="8"/>
                <w:color w:val="auto"/>
              </w:rPr>
            </w:pPr>
          </w:p>
        </w:tc>
        <w:tc>
          <w:tcPr>
            <w:tcW w:w="580" w:type="dxa"/>
            <w:vAlign w:val="bottom"/>
            <w:gridSpan w:val="2"/>
          </w:tcPr>
          <w:p>
            <w:pPr>
              <w:spacing w:after="0"/>
              <w:rPr>
                <w:sz w:val="20"/>
                <w:szCs w:val="20"/>
                <w:color w:val="auto"/>
              </w:rPr>
            </w:pPr>
            <w:r>
              <w:rPr>
                <w:rFonts w:ascii="Arial" w:cs="Arial" w:eastAsia="Arial" w:hAnsi="Arial"/>
                <w:sz w:val="8"/>
                <w:szCs w:val="8"/>
                <w:b w:val="1"/>
                <w:bCs w:val="1"/>
                <w:color w:val="auto"/>
              </w:rPr>
              <w:t>in OCI</w:t>
            </w:r>
          </w:p>
        </w:tc>
        <w:tc>
          <w:tcPr>
            <w:tcW w:w="3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2"/>
              </w:rPr>
              <w:t>Level 3</w:t>
            </w:r>
            <w:r>
              <w:rPr>
                <w:rFonts w:ascii="Arial" w:cs="Arial" w:eastAsia="Arial" w:hAnsi="Arial"/>
                <w:sz w:val="9"/>
                <w:szCs w:val="9"/>
                <w:b w:val="1"/>
                <w:bCs w:val="1"/>
                <w:color w:val="auto"/>
                <w:w w:val="92"/>
                <w:vertAlign w:val="superscript"/>
              </w:rPr>
              <w:t>(1)</w:t>
            </w:r>
          </w:p>
        </w:tc>
        <w:tc>
          <w:tcPr>
            <w:tcW w:w="360" w:type="dxa"/>
            <w:vAlign w:val="bottom"/>
          </w:tcPr>
          <w:p>
            <w:pPr>
              <w:spacing w:after="0"/>
              <w:rPr>
                <w:sz w:val="8"/>
                <w:szCs w:val="8"/>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6"/>
              </w:rPr>
              <w:t>Level 3</w:t>
            </w:r>
            <w:r>
              <w:rPr>
                <w:rFonts w:ascii="Arial" w:cs="Arial" w:eastAsia="Arial" w:hAnsi="Arial"/>
                <w:sz w:val="9"/>
                <w:szCs w:val="9"/>
                <w:b w:val="1"/>
                <w:bCs w:val="1"/>
                <w:color w:val="auto"/>
                <w:w w:val="86"/>
                <w:vertAlign w:val="superscript"/>
              </w:rPr>
              <w:t>(1)</w:t>
            </w:r>
          </w:p>
        </w:tc>
        <w:tc>
          <w:tcPr>
            <w:tcW w:w="300" w:type="dxa"/>
            <w:vAlign w:val="bottom"/>
          </w:tcPr>
          <w:p>
            <w:pPr>
              <w:spacing w:after="0"/>
              <w:rPr>
                <w:sz w:val="8"/>
                <w:szCs w:val="8"/>
                <w:color w:val="auto"/>
              </w:rPr>
            </w:pPr>
          </w:p>
        </w:tc>
        <w:tc>
          <w:tcPr>
            <w:tcW w:w="600" w:type="dxa"/>
            <w:vAlign w:val="bottom"/>
          </w:tcPr>
          <w:p>
            <w:pPr>
              <w:jc w:val="right"/>
              <w:ind w:right="337"/>
              <w:spacing w:after="0"/>
              <w:rPr>
                <w:sz w:val="20"/>
                <w:szCs w:val="20"/>
                <w:color w:val="auto"/>
              </w:rPr>
            </w:pPr>
            <w:r>
              <w:rPr>
                <w:rFonts w:ascii="Arial" w:cs="Arial" w:eastAsia="Arial" w:hAnsi="Arial"/>
                <w:sz w:val="8"/>
                <w:szCs w:val="8"/>
                <w:b w:val="1"/>
                <w:bCs w:val="1"/>
                <w:color w:val="auto"/>
              </w:rPr>
              <w:t>2021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net income</w:t>
            </w: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780" w:type="dxa"/>
            <w:vAlign w:val="bottom"/>
            <w:tcBorders>
              <w:top w:val="single" w:sz="8" w:color="CCEEFF"/>
            </w:tcBorders>
            <w:shd w:val="clear" w:color="auto" w:fill="CCEEFF"/>
          </w:tcPr>
          <w:p>
            <w:pPr>
              <w:ind w:left="20"/>
              <w:spacing w:after="0" w:line="70" w:lineRule="exact"/>
              <w:rPr>
                <w:sz w:val="20"/>
                <w:szCs w:val="20"/>
                <w:color w:val="auto"/>
              </w:rPr>
            </w:pPr>
            <w:r>
              <w:rPr>
                <w:rFonts w:ascii="Arial" w:cs="Arial" w:eastAsia="Arial" w:hAnsi="Arial"/>
                <w:sz w:val="8"/>
                <w:szCs w:val="8"/>
                <w:color w:val="auto"/>
              </w:rPr>
              <w:t>Fixed maturity</w:t>
            </w:r>
          </w:p>
        </w:tc>
        <w:tc>
          <w:tcPr>
            <w:tcW w:w="34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780" w:type="dxa"/>
            <w:vAlign w:val="bottom"/>
            <w:shd w:val="clear" w:color="auto" w:fill="CCEEFF"/>
          </w:tcPr>
          <w:p>
            <w:pPr>
              <w:ind w:left="140"/>
              <w:spacing w:after="0"/>
              <w:rPr>
                <w:sz w:val="20"/>
                <w:szCs w:val="20"/>
                <w:color w:val="auto"/>
              </w:rPr>
            </w:pPr>
            <w:r>
              <w:rPr>
                <w:rFonts w:ascii="Arial" w:cs="Arial" w:eastAsia="Arial" w:hAnsi="Arial"/>
                <w:sz w:val="8"/>
                <w:szCs w:val="8"/>
                <w:color w:val="auto"/>
              </w:rPr>
              <w:t>securities:</w:t>
            </w: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80" w:type="dxa"/>
            <w:vAlign w:val="bottom"/>
          </w:tcPr>
          <w:p>
            <w:pPr>
              <w:ind w:left="340"/>
              <w:spacing w:after="0" w:line="90" w:lineRule="exact"/>
              <w:rPr>
                <w:sz w:val="20"/>
                <w:szCs w:val="20"/>
                <w:color w:val="auto"/>
              </w:rPr>
            </w:pPr>
            <w:r>
              <w:rPr>
                <w:rFonts w:ascii="Arial" w:cs="Arial" w:eastAsia="Arial" w:hAnsi="Arial"/>
                <w:sz w:val="8"/>
                <w:szCs w:val="8"/>
                <w:color w:val="auto"/>
              </w:rPr>
              <w:t>U.S.</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rPr>
                <w:sz w:val="20"/>
                <w:szCs w:val="20"/>
                <w:color w:val="auto"/>
              </w:rPr>
            </w:pPr>
            <w:r>
              <w:rPr>
                <w:rFonts w:ascii="Arial" w:cs="Arial" w:eastAsia="Arial" w:hAnsi="Arial"/>
                <w:sz w:val="8"/>
                <w:szCs w:val="8"/>
                <w:color w:val="auto"/>
              </w:rPr>
              <w:t>corporate</w:t>
            </w:r>
          </w:p>
        </w:tc>
        <w:tc>
          <w:tcPr>
            <w:tcW w:w="34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spacing w:after="0"/>
              <w:rPr>
                <w:sz w:val="20"/>
                <w:szCs w:val="20"/>
                <w:color w:val="auto"/>
              </w:rPr>
            </w:pPr>
            <w:r>
              <w:rPr>
                <w:rFonts w:ascii="Arial" w:cs="Arial" w:eastAsia="Arial" w:hAnsi="Arial"/>
                <w:sz w:val="8"/>
                <w:szCs w:val="8"/>
                <w:color w:val="auto"/>
              </w:rPr>
              <w:t>119,373</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ind w:left="140"/>
              <w:spacing w:after="0"/>
              <w:rPr>
                <w:sz w:val="20"/>
                <w:szCs w:val="20"/>
                <w:color w:val="auto"/>
              </w:rPr>
            </w:pPr>
            <w:r>
              <w:rPr>
                <w:rFonts w:ascii="Arial" w:cs="Arial" w:eastAsia="Arial" w:hAnsi="Arial"/>
                <w:sz w:val="8"/>
                <w:szCs w:val="8"/>
                <w:color w:val="auto"/>
                <w:w w:val="88"/>
              </w:rPr>
              <w:t>$</w:t>
            </w:r>
          </w:p>
        </w:tc>
        <w:tc>
          <w:tcPr>
            <w:tcW w:w="440" w:type="dxa"/>
            <w:vAlign w:val="bottom"/>
          </w:tcPr>
          <w:p>
            <w:pPr>
              <w:jc w:val="right"/>
              <w:spacing w:after="0"/>
              <w:rPr>
                <w:sz w:val="20"/>
                <w:szCs w:val="20"/>
                <w:color w:val="auto"/>
              </w:rPr>
            </w:pPr>
            <w:r>
              <w:rPr>
                <w:rFonts w:ascii="Arial" w:cs="Arial" w:eastAsia="Arial" w:hAnsi="Arial"/>
                <w:sz w:val="8"/>
                <w:szCs w:val="8"/>
                <w:color w:val="auto"/>
              </w:rPr>
              <w:t>(121)</w:t>
            </w:r>
          </w:p>
        </w:tc>
        <w:tc>
          <w:tcPr>
            <w:tcW w:w="60" w:type="dxa"/>
            <w:vAlign w:val="bottom"/>
          </w:tcPr>
          <w:p>
            <w:pPr>
              <w:spacing w:after="0"/>
              <w:rPr>
                <w:sz w:val="9"/>
                <w:szCs w:val="9"/>
                <w:color w:val="auto"/>
              </w:rPr>
            </w:pPr>
          </w:p>
        </w:tc>
        <w:tc>
          <w:tcPr>
            <w:tcW w:w="320" w:type="dxa"/>
            <w:vAlign w:val="bottom"/>
          </w:tcPr>
          <w:p>
            <w:pPr>
              <w:jc w:val="center"/>
              <w:ind w:left="210"/>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(6,374)</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
              <w:spacing w:after="0"/>
              <w:rPr>
                <w:sz w:val="20"/>
                <w:szCs w:val="20"/>
                <w:color w:val="auto"/>
              </w:rPr>
            </w:pPr>
            <w:r>
              <w:rPr>
                <w:rFonts w:ascii="Arial" w:cs="Arial" w:eastAsia="Arial" w:hAnsi="Arial"/>
                <w:sz w:val="8"/>
                <w:szCs w:val="8"/>
                <w:color w:val="auto"/>
              </w:rPr>
              <w:t>126,858</w:t>
            </w: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w:t>
            </w:r>
          </w:p>
        </w:tc>
        <w:tc>
          <w:tcPr>
            <w:tcW w:w="560" w:type="dxa"/>
            <w:vAlign w:val="bottom"/>
          </w:tcPr>
          <w:p>
            <w:pPr>
              <w:jc w:val="right"/>
              <w:spacing w:after="0"/>
              <w:rPr>
                <w:sz w:val="20"/>
                <w:szCs w:val="20"/>
                <w:color w:val="auto"/>
              </w:rPr>
            </w:pPr>
            <w:r>
              <w:rPr>
                <w:rFonts w:ascii="Arial" w:cs="Arial" w:eastAsia="Arial" w:hAnsi="Arial"/>
                <w:sz w:val="8"/>
                <w:szCs w:val="8"/>
                <w:color w:val="auto"/>
              </w:rPr>
              <w:t>(8,914)</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7,397</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(17,486)</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220,733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tcPr>
          <w:p>
            <w:pPr>
              <w:jc w:val="right"/>
              <w:spacing w:after="0"/>
              <w:rPr>
                <w:sz w:val="20"/>
                <w:szCs w:val="20"/>
                <w:color w:val="auto"/>
              </w:rPr>
            </w:pPr>
            <w:r>
              <w:rPr>
                <w:rFonts w:ascii="Arial" w:cs="Arial" w:eastAsia="Arial" w:hAnsi="Arial"/>
                <w:sz w:val="8"/>
                <w:szCs w:val="8"/>
                <w:color w:val="auto"/>
              </w:rPr>
              <w:t>(121)</w:t>
            </w:r>
          </w:p>
        </w:tc>
        <w:tc>
          <w:tcPr>
            <w:tcW w:w="500" w:type="dxa"/>
            <w:vAlign w:val="bottom"/>
            <w:gridSpan w:val="2"/>
          </w:tcPr>
          <w:p>
            <w:pPr>
              <w:ind w:left="320"/>
              <w:spacing w:after="0"/>
              <w:rPr>
                <w:sz w:val="20"/>
                <w:szCs w:val="20"/>
                <w:color w:val="auto"/>
              </w:rPr>
            </w:pPr>
            <w:r>
              <w:rPr>
                <w:rFonts w:ascii="Arial" w:cs="Arial" w:eastAsia="Arial" w:hAnsi="Arial"/>
                <w:sz w:val="8"/>
                <w:szCs w:val="8"/>
                <w:color w:val="auto"/>
              </w:rPr>
              <w:t>$</w:t>
            </w:r>
          </w:p>
        </w:tc>
        <w:tc>
          <w:tcPr>
            <w:tcW w:w="400" w:type="dxa"/>
            <w:vAlign w:val="bottom"/>
          </w:tcPr>
          <w:p>
            <w:pPr>
              <w:jc w:val="right"/>
              <w:spacing w:after="0"/>
              <w:rPr>
                <w:sz w:val="20"/>
                <w:szCs w:val="20"/>
                <w:color w:val="auto"/>
              </w:rPr>
            </w:pPr>
            <w:r>
              <w:rPr>
                <w:rFonts w:ascii="Arial" w:cs="Arial" w:eastAsia="Arial" w:hAnsi="Arial"/>
                <w:sz w:val="8"/>
                <w:szCs w:val="8"/>
                <w:color w:val="auto"/>
              </w:rPr>
              <w:t>(6,537)</w:t>
            </w:r>
          </w:p>
        </w:tc>
        <w:tc>
          <w:tcPr>
            <w:tcW w:w="0" w:type="dxa"/>
            <w:vAlign w:val="bottom"/>
          </w:tcPr>
          <w:p>
            <w:pPr>
              <w:spacing w:after="0"/>
              <w:rPr>
                <w:sz w:val="1"/>
                <w:szCs w:val="1"/>
                <w:color w:val="auto"/>
              </w:rPr>
            </w:pPr>
          </w:p>
        </w:tc>
      </w:tr>
      <w:tr>
        <w:trPr>
          <w:trHeight w:val="98"/>
        </w:trPr>
        <w:tc>
          <w:tcPr>
            <w:tcW w:w="780" w:type="dxa"/>
            <w:vAlign w:val="bottom"/>
            <w:shd w:val="clear" w:color="auto" w:fill="CCEEFF"/>
          </w:tcPr>
          <w:p>
            <w:pPr>
              <w:ind w:left="100"/>
              <w:spacing w:after="0"/>
              <w:rPr>
                <w:sz w:val="20"/>
                <w:szCs w:val="20"/>
                <w:color w:val="auto"/>
              </w:rPr>
            </w:pPr>
            <w:r>
              <w:rPr>
                <w:rFonts w:ascii="Arial" w:cs="Arial" w:eastAsia="Arial" w:hAnsi="Arial"/>
                <w:sz w:val="8"/>
                <w:szCs w:val="8"/>
                <w:color w:val="auto"/>
              </w:rPr>
              <w:t>Non-U.S.</w:t>
            </w:r>
          </w:p>
        </w:tc>
        <w:tc>
          <w:tcPr>
            <w:tcW w:w="3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80" w:type="dxa"/>
            <w:vAlign w:val="bottom"/>
            <w:shd w:val="clear" w:color="auto" w:fill="CCEEFF"/>
          </w:tcPr>
          <w:p>
            <w:pPr>
              <w:ind w:left="220"/>
              <w:spacing w:after="0"/>
              <w:rPr>
                <w:sz w:val="20"/>
                <w:szCs w:val="20"/>
                <w:color w:val="auto"/>
              </w:rPr>
            </w:pPr>
            <w:r>
              <w:rPr>
                <w:rFonts w:ascii="Arial" w:cs="Arial" w:eastAsia="Arial" w:hAnsi="Arial"/>
                <w:sz w:val="8"/>
                <w:szCs w:val="8"/>
                <w:color w:val="auto"/>
              </w:rPr>
              <w:t>corporate</w:t>
            </w: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95,751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786</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2,695</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8"/>
                <w:szCs w:val="8"/>
                <w:color w:val="auto"/>
              </w:rPr>
              <w:t>46,786</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(25,149)</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3,010</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(40,215)</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83,664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(1,148)</w:t>
            </w:r>
          </w:p>
        </w:tc>
        <w:tc>
          <w:tcPr>
            <w:tcW w:w="0" w:type="dxa"/>
            <w:vAlign w:val="bottom"/>
          </w:tcPr>
          <w:p>
            <w:pPr>
              <w:spacing w:after="0"/>
              <w:rPr>
                <w:sz w:val="1"/>
                <w:szCs w:val="1"/>
                <w:color w:val="auto"/>
              </w:rPr>
            </w:pPr>
          </w:p>
        </w:tc>
      </w:tr>
      <w:tr>
        <w:trPr>
          <w:trHeight w:val="90"/>
        </w:trPr>
        <w:tc>
          <w:tcPr>
            <w:tcW w:w="780" w:type="dxa"/>
            <w:vAlign w:val="bottom"/>
          </w:tcPr>
          <w:p>
            <w:pPr>
              <w:ind w:left="100"/>
              <w:spacing w:after="0" w:line="90" w:lineRule="exact"/>
              <w:rPr>
                <w:sz w:val="20"/>
                <w:szCs w:val="20"/>
                <w:color w:val="auto"/>
              </w:rPr>
            </w:pPr>
            <w:r>
              <w:rPr>
                <w:rFonts w:ascii="Arial" w:cs="Arial" w:eastAsia="Arial" w:hAnsi="Arial"/>
                <w:sz w:val="8"/>
                <w:szCs w:val="8"/>
                <w:color w:val="auto"/>
              </w:rPr>
              <w:t>Other asset-</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220"/>
              <w:spacing w:after="0"/>
              <w:rPr>
                <w:sz w:val="20"/>
                <w:szCs w:val="20"/>
                <w:color w:val="auto"/>
              </w:rPr>
            </w:pPr>
            <w:r>
              <w:rPr>
                <w:rFonts w:ascii="Arial" w:cs="Arial" w:eastAsia="Arial" w:hAnsi="Arial"/>
                <w:sz w:val="8"/>
                <w:szCs w:val="8"/>
                <w:color w:val="auto"/>
              </w:rPr>
              <w:t>backed</w:t>
            </w:r>
          </w:p>
        </w:tc>
        <w:tc>
          <w:tcPr>
            <w:tcW w:w="3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13,781</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(484)</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jc w:val="right"/>
              <w:ind w:right="15"/>
              <w:spacing w:after="0"/>
              <w:rPr>
                <w:sz w:val="20"/>
                <w:szCs w:val="20"/>
                <w:color w:val="auto"/>
              </w:rPr>
            </w:pPr>
            <w:r>
              <w:rPr>
                <w:rFonts w:ascii="Arial" w:cs="Arial" w:eastAsia="Arial" w:hAnsi="Arial"/>
                <w:sz w:val="8"/>
                <w:szCs w:val="8"/>
                <w:color w:val="auto"/>
              </w:rPr>
              <w:t>34,493</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46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(11,248)</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3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(12,319)</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24,223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(401)</w:t>
            </w:r>
          </w:p>
        </w:tc>
        <w:tc>
          <w:tcPr>
            <w:tcW w:w="0" w:type="dxa"/>
            <w:vAlign w:val="bottom"/>
          </w:tcPr>
          <w:p>
            <w:pPr>
              <w:spacing w:after="0"/>
              <w:rPr>
                <w:sz w:val="1"/>
                <w:szCs w:val="1"/>
                <w:color w:val="auto"/>
              </w:rPr>
            </w:pPr>
          </w:p>
        </w:tc>
      </w:tr>
      <w:tr>
        <w:trPr>
          <w:trHeight w:val="147"/>
        </w:trPr>
        <w:tc>
          <w:tcPr>
            <w:tcW w:w="7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8"/>
                <w:szCs w:val="8"/>
                <w:b w:val="1"/>
                <w:bCs w:val="1"/>
                <w:color w:val="auto"/>
              </w:rPr>
              <w:t>Total</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228,905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665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8"/>
                <w:szCs w:val="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(4,163)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8"/>
                <w:szCs w:val="8"/>
                <w:b w:val="1"/>
                <w:bCs w:val="1"/>
                <w:color w:val="auto"/>
              </w:rPr>
              <w:t>208,137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3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8"/>
                <w:szCs w:val="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3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8"/>
                <w:szCs w:val="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(45,311)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10,407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(70,020)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328,620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(372)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8"/>
                <w:szCs w:val="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(8,086)</w:t>
            </w: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40" w:right="80" w:hanging="238"/>
        <w:spacing w:after="0" w:line="242" w:lineRule="auto"/>
        <w:tabs>
          <w:tab w:leader="none" w:pos="234" w:val="left"/>
        </w:tabs>
        <w:numPr>
          <w:ilvl w:val="0"/>
          <w:numId w:val="64"/>
        </w:numPr>
        <w:rPr>
          <w:rFonts w:ascii="Arial" w:cs="Arial" w:eastAsia="Arial" w:hAnsi="Arial"/>
          <w:sz w:val="7"/>
          <w:szCs w:val="7"/>
          <w:color w:val="auto"/>
        </w:rPr>
      </w:pPr>
      <w:r>
        <w:rPr>
          <w:rFonts w:ascii="Arial" w:cs="Arial" w:eastAsia="Arial" w:hAnsi="Arial"/>
          <w:sz w:val="11"/>
          <w:szCs w:val="11"/>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5"/>
          </w:tcPr>
          <w:p>
            <w:pPr>
              <w:ind w:left="40"/>
              <w:spacing w:after="0"/>
              <w:rPr>
                <w:sz w:val="20"/>
                <w:szCs w:val="20"/>
                <w:color w:val="auto"/>
              </w:rPr>
            </w:pPr>
            <w:r>
              <w:rPr>
                <w:rFonts w:ascii="Arial" w:cs="Arial" w:eastAsia="Arial" w:hAnsi="Arial"/>
                <w:sz w:val="8"/>
                <w:szCs w:val="8"/>
                <w:b w:val="1"/>
                <w:bCs w:val="1"/>
                <w:color w:val="auto"/>
              </w:rPr>
              <w:t>Total realized and unrealized gains</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3"/>
          </w:tcPr>
          <w:p>
            <w:pPr>
              <w:jc w:val="right"/>
              <w:spacing w:after="0"/>
              <w:rPr>
                <w:sz w:val="20"/>
                <w:szCs w:val="20"/>
                <w:color w:val="auto"/>
              </w:rPr>
            </w:pPr>
            <w:r>
              <w:rPr>
                <w:rFonts w:ascii="Arial" w:cs="Arial" w:eastAsia="Arial" w:hAnsi="Arial"/>
                <w:sz w:val="8"/>
                <w:szCs w:val="8"/>
                <w:b w:val="1"/>
                <w:bCs w:val="1"/>
                <w:color w:val="auto"/>
              </w:rPr>
              <w:t>Total gains</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1"/>
              </w:rPr>
              <w:t>Balance</w:t>
            </w: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(losses)</w:t>
            </w: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8"/>
                <w:szCs w:val="8"/>
                <w:b w:val="1"/>
                <w:bCs w:val="1"/>
                <w:color w:val="auto"/>
                <w:w w:val="97"/>
              </w:rPr>
              <w:t>(losses) attributable to assets still held</w:t>
            </w:r>
          </w:p>
        </w:tc>
        <w:tc>
          <w:tcPr>
            <w:tcW w:w="0" w:type="dxa"/>
            <w:vAlign w:val="bottom"/>
          </w:tcPr>
          <w:p>
            <w:pPr>
              <w:spacing w:after="0"/>
              <w:rPr>
                <w:sz w:val="1"/>
                <w:szCs w:val="1"/>
                <w:color w:val="auto"/>
              </w:rPr>
            </w:pPr>
          </w:p>
        </w:tc>
      </w:tr>
      <w:tr>
        <w:trPr>
          <w:trHeight w:val="23"/>
        </w:trPr>
        <w:tc>
          <w:tcPr>
            <w:tcW w:w="1060" w:type="dxa"/>
            <w:vAlign w:val="bottom"/>
            <w:vMerge w:val="restart"/>
          </w:tcPr>
          <w:p>
            <w:pPr>
              <w:ind w:left="20"/>
              <w:spacing w:after="0"/>
              <w:rPr>
                <w:sz w:val="20"/>
                <w:szCs w:val="20"/>
                <w:color w:val="auto"/>
              </w:rPr>
            </w:pPr>
            <w:r>
              <w:rPr>
                <w:rFonts w:ascii="Arial" w:cs="Arial" w:eastAsia="Arial" w:hAnsi="Arial"/>
                <w:sz w:val="8"/>
                <w:szCs w:val="8"/>
                <w:b w:val="1"/>
                <w:bCs w:val="1"/>
                <w:color w:val="auto"/>
              </w:rPr>
              <w:t>2020</w:t>
            </w:r>
          </w:p>
        </w:tc>
        <w:tc>
          <w:tcPr>
            <w:tcW w:w="1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1"/>
              </w:rPr>
              <w:t>Included</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3"/>
              </w:rPr>
              <w:t>Transfers</w:t>
            </w:r>
          </w:p>
        </w:tc>
        <w:tc>
          <w:tcPr>
            <w:tcW w:w="140" w:type="dxa"/>
            <w:vAlign w:val="bottom"/>
          </w:tcPr>
          <w:p>
            <w:pPr>
              <w:spacing w:after="0"/>
              <w:rPr>
                <w:sz w:val="2"/>
                <w:szCs w:val="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3"/>
              </w:rPr>
              <w:t>Transfers</w:t>
            </w:r>
          </w:p>
        </w:tc>
        <w:tc>
          <w:tcPr>
            <w:tcW w:w="100" w:type="dxa"/>
            <w:vAlign w:val="bottom"/>
          </w:tcPr>
          <w:p>
            <w:pPr>
              <w:spacing w:after="0"/>
              <w:rPr>
                <w:sz w:val="2"/>
                <w:szCs w:val="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7"/>
              </w:rPr>
              <w:t>Balance</w:t>
            </w: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tcPr>
          <w:p>
            <w:pPr>
              <w:jc w:val="center"/>
              <w:ind w:right="200"/>
              <w:spacing w:after="0" w:line="72" w:lineRule="exact"/>
              <w:rPr>
                <w:sz w:val="20"/>
                <w:szCs w:val="20"/>
                <w:color w:val="auto"/>
              </w:rPr>
            </w:pPr>
            <w:r>
              <w:rPr>
                <w:rFonts w:ascii="Arial" w:cs="Arial" w:eastAsia="Arial" w:hAnsi="Arial"/>
                <w:sz w:val="8"/>
                <w:szCs w:val="8"/>
                <w:b w:val="1"/>
                <w:bCs w:val="1"/>
                <w:color w:val="auto"/>
                <w:w w:val="96"/>
              </w:rPr>
              <w:t>as of</w:t>
            </w: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1"/>
              </w:rPr>
              <w:t>Included</w:t>
            </w: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5"/>
              </w:rPr>
              <w:t>Included in net</w:t>
            </w: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060" w:type="dxa"/>
            <w:vAlign w:val="bottom"/>
          </w:tcPr>
          <w:p>
            <w:pPr>
              <w:ind w:left="20"/>
              <w:spacing w:after="0" w:line="72" w:lineRule="exact"/>
              <w:rPr>
                <w:sz w:val="20"/>
                <w:szCs w:val="20"/>
                <w:color w:val="auto"/>
              </w:rPr>
            </w:pPr>
            <w:r>
              <w:rPr>
                <w:rFonts w:ascii="Arial" w:cs="Arial" w:eastAsia="Arial" w:hAnsi="Arial"/>
                <w:sz w:val="8"/>
                <w:szCs w:val="8"/>
                <w:b w:val="1"/>
                <w:bCs w:val="1"/>
                <w:color w:val="auto"/>
              </w:rPr>
              <w:t>(Amounts</w:t>
            </w:r>
          </w:p>
        </w:tc>
        <w:tc>
          <w:tcPr>
            <w:tcW w:w="140" w:type="dxa"/>
            <w:vAlign w:val="bottom"/>
          </w:tcPr>
          <w:p>
            <w:pPr>
              <w:spacing w:after="0"/>
              <w:rPr>
                <w:sz w:val="6"/>
                <w:szCs w:val="6"/>
                <w:color w:val="auto"/>
              </w:rPr>
            </w:pPr>
          </w:p>
        </w:tc>
        <w:tc>
          <w:tcPr>
            <w:tcW w:w="74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w w:val="90"/>
              </w:rPr>
              <w:t>January 1,</w:t>
            </w:r>
          </w:p>
        </w:tc>
        <w:tc>
          <w:tcPr>
            <w:tcW w:w="80" w:type="dxa"/>
            <w:vAlign w:val="bottom"/>
          </w:tcPr>
          <w:p>
            <w:pPr>
              <w:spacing w:after="0"/>
              <w:rPr>
                <w:sz w:val="6"/>
                <w:szCs w:val="6"/>
                <w:color w:val="auto"/>
              </w:rPr>
            </w:pPr>
          </w:p>
        </w:tc>
        <w:tc>
          <w:tcPr>
            <w:tcW w:w="70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w w:val="93"/>
              </w:rPr>
              <w:t>in net</w:t>
            </w: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Purchases</w:t>
            </w:r>
          </w:p>
        </w:tc>
        <w:tc>
          <w:tcPr>
            <w:tcW w:w="120" w:type="dxa"/>
            <w:vAlign w:val="bottom"/>
          </w:tcPr>
          <w:p>
            <w:pPr>
              <w:spacing w:after="0"/>
              <w:rPr>
                <w:sz w:val="6"/>
                <w:szCs w:val="6"/>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Sales</w:t>
            </w:r>
          </w:p>
        </w:tc>
        <w:tc>
          <w:tcPr>
            <w:tcW w:w="14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Issuance</w:t>
            </w:r>
          </w:p>
        </w:tc>
        <w:tc>
          <w:tcPr>
            <w:tcW w:w="140" w:type="dxa"/>
            <w:vAlign w:val="bottom"/>
          </w:tcPr>
          <w:p>
            <w:pPr>
              <w:spacing w:after="0"/>
              <w:rPr>
                <w:sz w:val="6"/>
                <w:szCs w:val="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Settlement</w:t>
            </w:r>
          </w:p>
        </w:tc>
        <w:tc>
          <w:tcPr>
            <w:tcW w:w="140" w:type="dxa"/>
            <w:vAlign w:val="bottom"/>
          </w:tcPr>
          <w:p>
            <w:pPr>
              <w:spacing w:after="0"/>
              <w:rPr>
                <w:sz w:val="6"/>
                <w:szCs w:val="6"/>
                <w:color w:val="auto"/>
              </w:rPr>
            </w:pPr>
          </w:p>
        </w:tc>
        <w:tc>
          <w:tcPr>
            <w:tcW w:w="72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w w:val="95"/>
              </w:rPr>
              <w:t>into</w:t>
            </w:r>
          </w:p>
        </w:tc>
        <w:tc>
          <w:tcPr>
            <w:tcW w:w="140" w:type="dxa"/>
            <w:vAlign w:val="bottom"/>
          </w:tcPr>
          <w:p>
            <w:pPr>
              <w:spacing w:after="0"/>
              <w:rPr>
                <w:sz w:val="6"/>
                <w:szCs w:val="6"/>
                <w:color w:val="auto"/>
              </w:rPr>
            </w:pPr>
          </w:p>
        </w:tc>
        <w:tc>
          <w:tcPr>
            <w:tcW w:w="720" w:type="dxa"/>
            <w:vAlign w:val="bottom"/>
            <w:gridSpan w:val="2"/>
          </w:tcPr>
          <w:p>
            <w:pPr>
              <w:jc w:val="center"/>
              <w:ind w:right="240"/>
              <w:spacing w:after="0" w:line="72" w:lineRule="exact"/>
              <w:rPr>
                <w:sz w:val="20"/>
                <w:szCs w:val="20"/>
                <w:color w:val="auto"/>
              </w:rPr>
            </w:pPr>
            <w:r>
              <w:rPr>
                <w:rFonts w:ascii="Arial" w:cs="Arial" w:eastAsia="Arial" w:hAnsi="Arial"/>
                <w:sz w:val="8"/>
                <w:szCs w:val="8"/>
                <w:b w:val="1"/>
                <w:bCs w:val="1"/>
                <w:color w:val="auto"/>
                <w:w w:val="89"/>
              </w:rPr>
              <w:t>out of</w:t>
            </w:r>
          </w:p>
        </w:tc>
        <w:tc>
          <w:tcPr>
            <w:tcW w:w="100" w:type="dxa"/>
            <w:vAlign w:val="bottom"/>
          </w:tcPr>
          <w:p>
            <w:pPr>
              <w:spacing w:after="0"/>
              <w:rPr>
                <w:sz w:val="6"/>
                <w:szCs w:val="6"/>
                <w:color w:val="auto"/>
              </w:rPr>
            </w:pPr>
          </w:p>
        </w:tc>
        <w:tc>
          <w:tcPr>
            <w:tcW w:w="96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w w:val="96"/>
              </w:rPr>
              <w:t>as of</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80"/>
              <w:spacing w:after="0"/>
              <w:rPr>
                <w:sz w:val="20"/>
                <w:szCs w:val="20"/>
                <w:color w:val="auto"/>
              </w:rPr>
            </w:pPr>
            <w:r>
              <w:rPr>
                <w:rFonts w:ascii="Arial" w:cs="Arial" w:eastAsia="Arial" w:hAnsi="Arial"/>
                <w:sz w:val="8"/>
                <w:szCs w:val="8"/>
                <w:b w:val="1"/>
                <w:bCs w:val="1"/>
                <w:color w:val="auto"/>
                <w:w w:val="91"/>
              </w:rPr>
              <w:t>Included in OCI</w:t>
            </w:r>
          </w:p>
        </w:tc>
        <w:tc>
          <w:tcPr>
            <w:tcW w:w="0" w:type="dxa"/>
            <w:vAlign w:val="bottom"/>
          </w:tcPr>
          <w:p>
            <w:pPr>
              <w:spacing w:after="0"/>
              <w:rPr>
                <w:sz w:val="1"/>
                <w:szCs w:val="1"/>
                <w:color w:val="auto"/>
              </w:rPr>
            </w:pPr>
          </w:p>
        </w:tc>
      </w:tr>
      <w:tr>
        <w:trPr>
          <w:trHeight w:val="100"/>
        </w:trPr>
        <w:tc>
          <w:tcPr>
            <w:tcW w:w="1060" w:type="dxa"/>
            <w:vAlign w:val="bottom"/>
          </w:tcPr>
          <w:p>
            <w:pPr>
              <w:ind w:left="20"/>
              <w:spacing w:after="0"/>
              <w:rPr>
                <w:sz w:val="20"/>
                <w:szCs w:val="20"/>
                <w:color w:val="auto"/>
              </w:rPr>
            </w:pPr>
            <w:r>
              <w:rPr>
                <w:rFonts w:ascii="Arial" w:cs="Arial" w:eastAsia="Arial" w:hAnsi="Arial"/>
                <w:sz w:val="8"/>
                <w:szCs w:val="8"/>
                <w:b w:val="1"/>
                <w:bCs w:val="1"/>
                <w:color w:val="auto"/>
              </w:rPr>
              <w:t>in thousands)</w:t>
            </w:r>
          </w:p>
        </w:tc>
        <w:tc>
          <w:tcPr>
            <w:tcW w:w="140" w:type="dxa"/>
            <w:vAlign w:val="bottom"/>
          </w:tcPr>
          <w:p>
            <w:pPr>
              <w:spacing w:after="0"/>
              <w:rPr>
                <w:sz w:val="8"/>
                <w:szCs w:val="8"/>
                <w:color w:val="auto"/>
              </w:rPr>
            </w:pPr>
          </w:p>
        </w:tc>
        <w:tc>
          <w:tcPr>
            <w:tcW w:w="660" w:type="dxa"/>
            <w:vAlign w:val="bottom"/>
          </w:tcPr>
          <w:p>
            <w:pPr>
              <w:jc w:val="center"/>
              <w:ind w:right="101"/>
              <w:spacing w:after="0"/>
              <w:rPr>
                <w:sz w:val="20"/>
                <w:szCs w:val="20"/>
                <w:color w:val="auto"/>
              </w:rPr>
            </w:pPr>
            <w:r>
              <w:rPr>
                <w:rFonts w:ascii="Arial" w:cs="Arial" w:eastAsia="Arial" w:hAnsi="Arial"/>
                <w:sz w:val="8"/>
                <w:szCs w:val="8"/>
                <w:b w:val="1"/>
                <w:bCs w:val="1"/>
                <w:color w:val="auto"/>
                <w:w w:val="89"/>
              </w:rPr>
              <w:t>2020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2"/>
              </w:rPr>
              <w:t>income</w:t>
            </w:r>
          </w:p>
        </w:tc>
        <w:tc>
          <w:tcPr>
            <w:tcW w:w="140" w:type="dxa"/>
            <w:vAlign w:val="bottom"/>
          </w:tcPr>
          <w:p>
            <w:pPr>
              <w:spacing w:after="0"/>
              <w:rPr>
                <w:sz w:val="8"/>
                <w:szCs w:val="8"/>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in OCI</w:t>
            </w: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9"/>
              </w:rPr>
              <w:t>Level 3</w:t>
            </w:r>
            <w:r>
              <w:rPr>
                <w:rFonts w:ascii="Arial" w:cs="Arial" w:eastAsia="Arial" w:hAnsi="Arial"/>
                <w:sz w:val="4"/>
                <w:szCs w:val="4"/>
                <w:b w:val="1"/>
                <w:bCs w:val="1"/>
                <w:color w:val="auto"/>
                <w:w w:val="99"/>
              </w:rPr>
              <w:t>(1)</w:t>
            </w:r>
          </w:p>
        </w:tc>
        <w:tc>
          <w:tcPr>
            <w:tcW w:w="140" w:type="dxa"/>
            <w:vAlign w:val="bottom"/>
          </w:tcPr>
          <w:p>
            <w:pPr>
              <w:spacing w:after="0"/>
              <w:rPr>
                <w:sz w:val="8"/>
                <w:szCs w:val="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9"/>
              </w:rPr>
              <w:t>Level 3</w:t>
            </w:r>
            <w:r>
              <w:rPr>
                <w:rFonts w:ascii="Arial" w:cs="Arial" w:eastAsia="Arial" w:hAnsi="Arial"/>
                <w:sz w:val="4"/>
                <w:szCs w:val="4"/>
                <w:b w:val="1"/>
                <w:bCs w:val="1"/>
                <w:color w:val="auto"/>
                <w:w w:val="99"/>
              </w:rPr>
              <w:t>(1)</w:t>
            </w:r>
          </w:p>
        </w:tc>
        <w:tc>
          <w:tcPr>
            <w:tcW w:w="100" w:type="dxa"/>
            <w:vAlign w:val="bottom"/>
          </w:tcPr>
          <w:p>
            <w:pPr>
              <w:spacing w:after="0"/>
              <w:rPr>
                <w:sz w:val="8"/>
                <w:szCs w:val="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4"/>
              </w:rPr>
              <w:t>December 31, 2020</w:t>
            </w:r>
          </w:p>
        </w:tc>
        <w:tc>
          <w:tcPr>
            <w:tcW w:w="120" w:type="dxa"/>
            <w:vAlign w:val="bottom"/>
          </w:tcPr>
          <w:p>
            <w:pPr>
              <w:spacing w:after="0"/>
              <w:rPr>
                <w:sz w:val="8"/>
                <w:szCs w:val="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2"/>
              </w:rPr>
              <w:t>income</w:t>
            </w: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060" w:type="dxa"/>
            <w:vAlign w:val="bottom"/>
            <w:tcBorders>
              <w:top w:val="single" w:sz="8" w:color="CCEEFF"/>
            </w:tcBorders>
            <w:shd w:val="clear" w:color="auto" w:fill="CCEEFF"/>
          </w:tcPr>
          <w:p>
            <w:pPr>
              <w:ind w:left="20"/>
              <w:spacing w:after="0" w:line="89" w:lineRule="exact"/>
              <w:rPr>
                <w:sz w:val="20"/>
                <w:szCs w:val="20"/>
                <w:color w:val="auto"/>
              </w:rPr>
            </w:pPr>
            <w:r>
              <w:rPr>
                <w:rFonts w:ascii="Arial" w:cs="Arial" w:eastAsia="Arial" w:hAnsi="Arial"/>
                <w:sz w:val="8"/>
                <w:szCs w:val="8"/>
                <w:color w:val="auto"/>
              </w:rPr>
              <w:t>Fixed maturity securities:</w:t>
            </w: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60" w:type="dxa"/>
            <w:vAlign w:val="bottom"/>
          </w:tcPr>
          <w:p>
            <w:pPr>
              <w:ind w:left="100"/>
              <w:spacing w:after="0"/>
              <w:rPr>
                <w:sz w:val="20"/>
                <w:szCs w:val="20"/>
                <w:color w:val="auto"/>
              </w:rPr>
            </w:pPr>
            <w:r>
              <w:rPr>
                <w:rFonts w:ascii="Arial" w:cs="Arial" w:eastAsia="Arial" w:hAnsi="Arial"/>
                <w:sz w:val="8"/>
                <w:szCs w:val="8"/>
                <w:color w:val="auto"/>
              </w:rPr>
              <w:t>U.S. corporate</w:t>
            </w: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ind w:right="1"/>
              <w:spacing w:after="0"/>
              <w:rPr>
                <w:sz w:val="20"/>
                <w:szCs w:val="20"/>
                <w:color w:val="auto"/>
              </w:rPr>
            </w:pPr>
            <w:r>
              <w:rPr>
                <w:rFonts w:ascii="Arial" w:cs="Arial" w:eastAsia="Arial" w:hAnsi="Arial"/>
                <w:sz w:val="8"/>
                <w:szCs w:val="8"/>
                <w:color w:val="auto"/>
              </w:rPr>
              <w:t>99,862</w:t>
            </w:r>
          </w:p>
        </w:tc>
        <w:tc>
          <w:tcPr>
            <w:tcW w:w="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162</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spacing w:after="0"/>
              <w:rPr>
                <w:sz w:val="20"/>
                <w:szCs w:val="20"/>
                <w:color w:val="auto"/>
              </w:rPr>
            </w:pPr>
            <w:r>
              <w:rPr>
                <w:rFonts w:ascii="Arial" w:cs="Arial" w:eastAsia="Arial" w:hAnsi="Arial"/>
                <w:sz w:val="8"/>
                <w:szCs w:val="8"/>
                <w:color w:val="auto"/>
              </w:rPr>
              <w:t>2,663</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80" w:type="dxa"/>
            <w:vAlign w:val="bottom"/>
          </w:tcPr>
          <w:p>
            <w:pPr>
              <w:jc w:val="right"/>
              <w:ind w:right="20"/>
              <w:spacing w:after="0"/>
              <w:rPr>
                <w:sz w:val="20"/>
                <w:szCs w:val="20"/>
                <w:color w:val="auto"/>
              </w:rPr>
            </w:pPr>
            <w:r>
              <w:rPr>
                <w:rFonts w:ascii="Arial" w:cs="Arial" w:eastAsia="Arial" w:hAnsi="Arial"/>
                <w:sz w:val="8"/>
                <w:szCs w:val="8"/>
                <w:color w:val="auto"/>
              </w:rPr>
              <w:t>70,552</w:t>
            </w:r>
          </w:p>
        </w:tc>
        <w:tc>
          <w:tcPr>
            <w:tcW w:w="80" w:type="dxa"/>
            <w:vAlign w:val="bottom"/>
          </w:tcPr>
          <w:p>
            <w:pPr>
              <w:spacing w:after="0"/>
              <w:rPr>
                <w:sz w:val="9"/>
                <w:szCs w:val="9"/>
                <w:color w:val="auto"/>
              </w:rPr>
            </w:pP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w:t>
            </w:r>
          </w:p>
        </w:tc>
        <w:tc>
          <w:tcPr>
            <w:tcW w:w="540" w:type="dxa"/>
            <w:vAlign w:val="bottom"/>
            <w:gridSpan w:val="2"/>
          </w:tcPr>
          <w:p>
            <w:pPr>
              <w:ind w:left="340"/>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4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80" w:type="dxa"/>
            <w:vAlign w:val="bottom"/>
          </w:tcPr>
          <w:p>
            <w:pPr>
              <w:jc w:val="right"/>
              <w:spacing w:after="0"/>
              <w:rPr>
                <w:sz w:val="20"/>
                <w:szCs w:val="20"/>
                <w:color w:val="auto"/>
              </w:rPr>
            </w:pPr>
            <w:r>
              <w:rPr>
                <w:rFonts w:ascii="Arial" w:cs="Arial" w:eastAsia="Arial" w:hAnsi="Arial"/>
                <w:sz w:val="8"/>
                <w:szCs w:val="8"/>
                <w:color w:val="auto"/>
              </w:rPr>
              <w:t>(13,332)</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40" w:type="dxa"/>
            <w:vAlign w:val="bottom"/>
          </w:tcPr>
          <w:p>
            <w:pPr>
              <w:jc w:val="right"/>
              <w:ind w:right="20"/>
              <w:spacing w:after="0"/>
              <w:rPr>
                <w:sz w:val="20"/>
                <w:szCs w:val="20"/>
                <w:color w:val="auto"/>
              </w:rPr>
            </w:pPr>
            <w:r>
              <w:rPr>
                <w:rFonts w:ascii="Arial" w:cs="Arial" w:eastAsia="Arial" w:hAnsi="Arial"/>
                <w:sz w:val="8"/>
                <w:szCs w:val="8"/>
                <w:color w:val="auto"/>
              </w:rPr>
              <w:t>18,216</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40" w:type="dxa"/>
            <w:vAlign w:val="bottom"/>
          </w:tcPr>
          <w:p>
            <w:pPr>
              <w:jc w:val="right"/>
              <w:spacing w:after="0"/>
              <w:rPr>
                <w:sz w:val="20"/>
                <w:szCs w:val="20"/>
                <w:color w:val="auto"/>
              </w:rPr>
            </w:pPr>
            <w:r>
              <w:rPr>
                <w:rFonts w:ascii="Arial" w:cs="Arial" w:eastAsia="Arial" w:hAnsi="Arial"/>
                <w:sz w:val="8"/>
                <w:szCs w:val="8"/>
                <w:color w:val="auto"/>
              </w:rPr>
              <w:t>(58,750)</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spacing w:after="0"/>
              <w:rPr>
                <w:sz w:val="20"/>
                <w:szCs w:val="20"/>
                <w:color w:val="auto"/>
              </w:rPr>
            </w:pPr>
            <w:r>
              <w:rPr>
                <w:rFonts w:ascii="Arial" w:cs="Arial" w:eastAsia="Arial" w:hAnsi="Arial"/>
                <w:sz w:val="8"/>
                <w:szCs w:val="8"/>
                <w:color w:val="auto"/>
              </w:rPr>
              <w:t>119,373</w:t>
            </w:r>
          </w:p>
        </w:tc>
        <w:tc>
          <w:tcPr>
            <w:tcW w:w="80" w:type="dxa"/>
            <w:vAlign w:val="bottom"/>
          </w:tcPr>
          <w:p>
            <w:pPr>
              <w:spacing w:after="0"/>
              <w:rPr>
                <w:sz w:val="9"/>
                <w:szCs w:val="9"/>
                <w:color w:val="auto"/>
              </w:rPr>
            </w:pP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(103)</w:t>
            </w:r>
          </w:p>
        </w:tc>
        <w:tc>
          <w:tcPr>
            <w:tcW w:w="80" w:type="dxa"/>
            <w:vAlign w:val="bottom"/>
          </w:tcPr>
          <w:p>
            <w:pPr>
              <w:spacing w:after="0"/>
              <w:rPr>
                <w:sz w:val="9"/>
                <w:szCs w:val="9"/>
                <w:color w:val="auto"/>
              </w:rPr>
            </w:pPr>
          </w:p>
        </w:tc>
        <w:tc>
          <w:tcPr>
            <w:tcW w:w="160" w:type="dxa"/>
            <w:vAlign w:val="bottom"/>
          </w:tcPr>
          <w:p>
            <w:pPr>
              <w:jc w:val="right"/>
              <w:ind w:right="59"/>
              <w:spacing w:after="0"/>
              <w:rPr>
                <w:sz w:val="20"/>
                <w:szCs w:val="20"/>
                <w:color w:val="auto"/>
              </w:rPr>
            </w:pPr>
            <w:r>
              <w:rPr>
                <w:rFonts w:ascii="Arial" w:cs="Arial" w:eastAsia="Arial" w:hAnsi="Arial"/>
                <w:sz w:val="8"/>
                <w:szCs w:val="8"/>
                <w:color w:val="auto"/>
                <w:w w:val="88"/>
              </w:rPr>
              <w:t>$</w:t>
            </w:r>
          </w:p>
        </w:tc>
        <w:tc>
          <w:tcPr>
            <w:tcW w:w="680" w:type="dxa"/>
            <w:vAlign w:val="bottom"/>
          </w:tcPr>
          <w:p>
            <w:pPr>
              <w:jc w:val="right"/>
              <w:spacing w:after="0"/>
              <w:rPr>
                <w:sz w:val="20"/>
                <w:szCs w:val="20"/>
                <w:color w:val="auto"/>
              </w:rPr>
            </w:pPr>
            <w:r>
              <w:rPr>
                <w:rFonts w:ascii="Arial" w:cs="Arial" w:eastAsia="Arial" w:hAnsi="Arial"/>
                <w:sz w:val="8"/>
                <w:szCs w:val="8"/>
                <w:color w:val="auto"/>
              </w:rPr>
              <w:t>4,694</w:t>
            </w:r>
          </w:p>
        </w:tc>
        <w:tc>
          <w:tcPr>
            <w:tcW w:w="0" w:type="dxa"/>
            <w:vAlign w:val="bottom"/>
          </w:tcPr>
          <w:p>
            <w:pPr>
              <w:spacing w:after="0"/>
              <w:rPr>
                <w:sz w:val="1"/>
                <w:szCs w:val="1"/>
                <w:color w:val="auto"/>
              </w:rPr>
            </w:pPr>
          </w:p>
        </w:tc>
      </w:tr>
      <w:tr>
        <w:trPr>
          <w:trHeight w:val="132"/>
        </w:trPr>
        <w:tc>
          <w:tcPr>
            <w:tcW w:w="1060" w:type="dxa"/>
            <w:vAlign w:val="bottom"/>
            <w:shd w:val="clear" w:color="auto" w:fill="CCEEFF"/>
          </w:tcPr>
          <w:p>
            <w:pPr>
              <w:ind w:left="100"/>
              <w:spacing w:after="0"/>
              <w:rPr>
                <w:sz w:val="20"/>
                <w:szCs w:val="20"/>
                <w:color w:val="auto"/>
              </w:rPr>
            </w:pPr>
            <w:r>
              <w:rPr>
                <w:rFonts w:ascii="Arial" w:cs="Arial" w:eastAsia="Arial" w:hAnsi="Arial"/>
                <w:sz w:val="8"/>
                <w:szCs w:val="8"/>
                <w:color w:val="auto"/>
              </w:rPr>
              <w:t>Non-U.S. corporate</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8"/>
                <w:szCs w:val="8"/>
                <w:color w:val="auto"/>
              </w:rPr>
              <w:t>77,189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8"/>
                <w:szCs w:val="8"/>
                <w:color w:val="auto"/>
              </w:rPr>
              <w:t>1,683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(889)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rPr>
              <w:t>32,000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(16,471)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rPr>
              <w:t>27,641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(25,402)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95,751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(1,219)</w:t>
            </w:r>
          </w:p>
        </w:tc>
        <w:tc>
          <w:tcPr>
            <w:tcW w:w="0" w:type="dxa"/>
            <w:vAlign w:val="bottom"/>
          </w:tcPr>
          <w:p>
            <w:pPr>
              <w:spacing w:after="0"/>
              <w:rPr>
                <w:sz w:val="1"/>
                <w:szCs w:val="1"/>
                <w:color w:val="auto"/>
              </w:rPr>
            </w:pPr>
          </w:p>
        </w:tc>
      </w:tr>
      <w:tr>
        <w:trPr>
          <w:trHeight w:val="115"/>
        </w:trPr>
        <w:tc>
          <w:tcPr>
            <w:tcW w:w="1060" w:type="dxa"/>
            <w:vAlign w:val="bottom"/>
          </w:tcPr>
          <w:p>
            <w:pPr>
              <w:ind w:left="100"/>
              <w:spacing w:after="0"/>
              <w:rPr>
                <w:sz w:val="20"/>
                <w:szCs w:val="20"/>
                <w:color w:val="auto"/>
              </w:rPr>
            </w:pPr>
            <w:r>
              <w:rPr>
                <w:rFonts w:ascii="Arial" w:cs="Arial" w:eastAsia="Arial" w:hAnsi="Arial"/>
                <w:sz w:val="8"/>
                <w:szCs w:val="8"/>
                <w:color w:val="auto"/>
              </w:rPr>
              <w:t>Other asset-backed</w:t>
            </w:r>
          </w:p>
        </w:tc>
        <w:tc>
          <w:tcPr>
            <w:tcW w:w="140" w:type="dxa"/>
            <w:vAlign w:val="bottom"/>
          </w:tcPr>
          <w:p>
            <w:pPr>
              <w:spacing w:after="0"/>
              <w:rPr>
                <w:sz w:val="9"/>
                <w:szCs w:val="9"/>
                <w:color w:val="auto"/>
              </w:rPr>
            </w:pPr>
          </w:p>
        </w:tc>
        <w:tc>
          <w:tcPr>
            <w:tcW w:w="660" w:type="dxa"/>
            <w:vAlign w:val="bottom"/>
          </w:tcPr>
          <w:p>
            <w:pPr>
              <w:jc w:val="right"/>
              <w:ind w:right="1"/>
              <w:spacing w:after="0"/>
              <w:rPr>
                <w:sz w:val="20"/>
                <w:szCs w:val="20"/>
                <w:color w:val="auto"/>
              </w:rPr>
            </w:pPr>
            <w:r>
              <w:rPr>
                <w:rFonts w:ascii="Arial" w:cs="Arial" w:eastAsia="Arial" w:hAnsi="Arial"/>
                <w:sz w:val="8"/>
                <w:szCs w:val="8"/>
                <w:color w:val="auto"/>
              </w:rPr>
              <w:t>4,038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304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20"/>
              <w:spacing w:after="0"/>
              <w:rPr>
                <w:sz w:val="20"/>
                <w:szCs w:val="20"/>
                <w:color w:val="auto"/>
              </w:rPr>
            </w:pPr>
            <w:r>
              <w:rPr>
                <w:rFonts w:ascii="Arial" w:cs="Arial" w:eastAsia="Arial" w:hAnsi="Arial"/>
                <w:sz w:val="8"/>
                <w:szCs w:val="8"/>
                <w:color w:val="auto"/>
              </w:rPr>
              <w:t>40,868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ind w:left="3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4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(1,946)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(29,483)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13,781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(122)</w:t>
            </w:r>
          </w:p>
        </w:tc>
        <w:tc>
          <w:tcPr>
            <w:tcW w:w="0" w:type="dxa"/>
            <w:vAlign w:val="bottom"/>
          </w:tcPr>
          <w:p>
            <w:pPr>
              <w:spacing w:after="0"/>
              <w:rPr>
                <w:sz w:val="1"/>
                <w:szCs w:val="1"/>
                <w:color w:val="auto"/>
              </w:rPr>
            </w:pPr>
          </w:p>
        </w:tc>
      </w:tr>
      <w:tr>
        <w:trPr>
          <w:trHeight w:val="147"/>
        </w:trPr>
        <w:tc>
          <w:tcPr>
            <w:tcW w:w="1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Total</w:t>
            </w: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rPr>
              <w:t>181,089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rPr>
              <w:t>1,845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2,078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rPr>
              <w:t>143,420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88"/>
              </w:rPr>
              <w:t>$</w:t>
            </w:r>
          </w:p>
        </w:tc>
        <w:tc>
          <w:tcPr>
            <w:tcW w:w="4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8"/>
                <w:szCs w:val="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5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8"/>
                <w:szCs w:val="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(31,749)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rPr>
              <w:t>45,857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(113,635)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228,905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3,353</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 w:lineRule="exact"/>
        <w:rPr>
          <w:sz w:val="20"/>
          <w:szCs w:val="20"/>
          <w:color w:val="auto"/>
        </w:rPr>
      </w:pPr>
    </w:p>
    <w:p>
      <w:pPr>
        <w:ind w:left="240" w:right="80" w:hanging="238"/>
        <w:spacing w:after="0" w:line="212" w:lineRule="auto"/>
        <w:tabs>
          <w:tab w:leader="none" w:pos="234" w:val="left"/>
        </w:tabs>
        <w:numPr>
          <w:ilvl w:val="0"/>
          <w:numId w:val="65"/>
        </w:numPr>
        <w:rPr>
          <w:rFonts w:ascii="Arial" w:cs="Arial" w:eastAsia="Arial" w:hAnsi="Arial"/>
          <w:sz w:val="14"/>
          <w:szCs w:val="14"/>
          <w:color w:val="auto"/>
          <w:vertAlign w:val="superscript"/>
        </w:rPr>
      </w:pPr>
      <w:r>
        <w:rPr>
          <w:rFonts w:ascii="Arial" w:cs="Arial" w:eastAsia="Arial" w:hAnsi="Arial"/>
          <w:sz w:val="11"/>
          <w:szCs w:val="11"/>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360"/>
          </w:cols>
          <w:pgMar w:left="300" w:top="205" w:right="239" w:bottom="1440" w:gutter="0" w:footer="0" w:header="0"/>
        </w:sectPr>
      </w:pPr>
    </w:p>
    <w:bookmarkStart w:id="147" w:name="page148"/>
    <w:bookmarkEnd w:id="147"/>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8"/>
                <w:szCs w:val="8"/>
                <w:b w:val="1"/>
                <w:bCs w:val="1"/>
                <w:color w:val="auto"/>
                <w:w w:val="94"/>
              </w:rPr>
              <w:t>Total gains</w:t>
            </w: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3"/>
          </w:tcPr>
          <w:p>
            <w:pPr>
              <w:jc w:val="center"/>
              <w:ind w:left="541"/>
              <w:spacing w:after="0" w:line="72" w:lineRule="exact"/>
              <w:rPr>
                <w:sz w:val="20"/>
                <w:szCs w:val="20"/>
                <w:color w:val="auto"/>
              </w:rPr>
            </w:pPr>
            <w:r>
              <w:rPr>
                <w:rFonts w:ascii="Arial" w:cs="Arial" w:eastAsia="Arial" w:hAnsi="Arial"/>
                <w:sz w:val="8"/>
                <w:szCs w:val="8"/>
                <w:b w:val="1"/>
                <w:bCs w:val="1"/>
                <w:color w:val="auto"/>
                <w:w w:val="92"/>
              </w:rPr>
              <w:t>(losses)</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4"/>
          </w:tcPr>
          <w:p>
            <w:pPr>
              <w:jc w:val="center"/>
              <w:ind w:right="80"/>
              <w:spacing w:after="0" w:line="72" w:lineRule="exact"/>
              <w:rPr>
                <w:sz w:val="20"/>
                <w:szCs w:val="20"/>
                <w:color w:val="auto"/>
              </w:rPr>
            </w:pPr>
            <w:r>
              <w:rPr>
                <w:rFonts w:ascii="Arial" w:cs="Arial" w:eastAsia="Arial" w:hAnsi="Arial"/>
                <w:sz w:val="8"/>
                <w:szCs w:val="8"/>
                <w:b w:val="1"/>
                <w:bCs w:val="1"/>
                <w:color w:val="auto"/>
                <w:w w:val="94"/>
              </w:rPr>
              <w:t>included in</w:t>
            </w: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4"/>
          </w:tcPr>
          <w:p>
            <w:pPr>
              <w:jc w:val="center"/>
              <w:ind w:right="80"/>
              <w:spacing w:after="0" w:line="72" w:lineRule="exact"/>
              <w:rPr>
                <w:sz w:val="20"/>
                <w:szCs w:val="20"/>
                <w:color w:val="auto"/>
              </w:rPr>
            </w:pPr>
            <w:r>
              <w:rPr>
                <w:rFonts w:ascii="Arial" w:cs="Arial" w:eastAsia="Arial" w:hAnsi="Arial"/>
                <w:sz w:val="8"/>
                <w:szCs w:val="8"/>
                <w:b w:val="1"/>
                <w:bCs w:val="1"/>
                <w:color w:val="auto"/>
                <w:w w:val="94"/>
              </w:rPr>
              <w:t>net income</w:t>
            </w: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5"/>
            <w:vMerge w:val="restart"/>
          </w:tcPr>
          <w:p>
            <w:pPr>
              <w:ind w:left="20"/>
              <w:spacing w:after="0"/>
              <w:rPr>
                <w:sz w:val="20"/>
                <w:szCs w:val="20"/>
                <w:color w:val="auto"/>
              </w:rPr>
            </w:pPr>
            <w:r>
              <w:rPr>
                <w:rFonts w:ascii="Arial" w:cs="Arial" w:eastAsia="Arial" w:hAnsi="Arial"/>
                <w:sz w:val="8"/>
                <w:szCs w:val="8"/>
                <w:b w:val="1"/>
                <w:bCs w:val="1"/>
                <w:color w:val="auto"/>
              </w:rPr>
              <w:t>Total realized and unrealized gains</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4"/>
          </w:tcPr>
          <w:p>
            <w:pPr>
              <w:jc w:val="center"/>
              <w:ind w:right="80"/>
              <w:spacing w:after="0" w:line="72" w:lineRule="exact"/>
              <w:rPr>
                <w:sz w:val="20"/>
                <w:szCs w:val="20"/>
                <w:color w:val="auto"/>
              </w:rPr>
            </w:pPr>
            <w:r>
              <w:rPr>
                <w:rFonts w:ascii="Arial" w:cs="Arial" w:eastAsia="Arial" w:hAnsi="Arial"/>
                <w:sz w:val="8"/>
                <w:szCs w:val="8"/>
                <w:b w:val="1"/>
                <w:bCs w:val="1"/>
                <w:color w:val="auto"/>
                <w:w w:val="91"/>
              </w:rPr>
              <w:t>attributable</w:t>
            </w: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3"/>
          </w:tcPr>
          <w:p>
            <w:pPr>
              <w:jc w:val="center"/>
              <w:ind w:left="541"/>
              <w:spacing w:after="0" w:line="72" w:lineRule="exact"/>
              <w:rPr>
                <w:sz w:val="20"/>
                <w:szCs w:val="20"/>
                <w:color w:val="auto"/>
              </w:rPr>
            </w:pPr>
            <w:r>
              <w:rPr>
                <w:rFonts w:ascii="Arial" w:cs="Arial" w:eastAsia="Arial" w:hAnsi="Arial"/>
                <w:sz w:val="8"/>
                <w:szCs w:val="8"/>
                <w:b w:val="1"/>
                <w:bCs w:val="1"/>
                <w:color w:val="auto"/>
                <w:w w:val="92"/>
              </w:rPr>
              <w:t>to assets</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7"/>
              </w:rPr>
              <w:t>Balance</w:t>
            </w: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8"/>
                <w:szCs w:val="8"/>
                <w:b w:val="1"/>
                <w:bCs w:val="1"/>
                <w:color w:val="auto"/>
              </w:rPr>
              <w:t>(losses)</w:t>
            </w: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8"/>
                <w:szCs w:val="8"/>
                <w:b w:val="1"/>
                <w:bCs w:val="1"/>
                <w:color w:val="auto"/>
                <w:w w:val="92"/>
              </w:rPr>
              <w:t>still held</w:t>
            </w: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060" w:type="dxa"/>
            <w:vAlign w:val="bottom"/>
            <w:vMerge w:val="restart"/>
          </w:tcPr>
          <w:p>
            <w:pPr>
              <w:ind w:left="20"/>
              <w:spacing w:after="0"/>
              <w:rPr>
                <w:sz w:val="20"/>
                <w:szCs w:val="20"/>
                <w:color w:val="auto"/>
              </w:rPr>
            </w:pPr>
            <w:r>
              <w:rPr>
                <w:rFonts w:ascii="Arial" w:cs="Arial" w:eastAsia="Arial" w:hAnsi="Arial"/>
                <w:sz w:val="8"/>
                <w:szCs w:val="8"/>
                <w:b w:val="1"/>
                <w:bCs w:val="1"/>
                <w:color w:val="auto"/>
              </w:rPr>
              <w:t>2019</w:t>
            </w:r>
          </w:p>
        </w:tc>
        <w:tc>
          <w:tcPr>
            <w:tcW w:w="1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1"/>
              </w:rPr>
              <w:t>Included</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3"/>
              </w:rPr>
              <w:t>Transfers</w:t>
            </w:r>
          </w:p>
        </w:tc>
        <w:tc>
          <w:tcPr>
            <w:tcW w:w="140" w:type="dxa"/>
            <w:vAlign w:val="bottom"/>
          </w:tcPr>
          <w:p>
            <w:pPr>
              <w:spacing w:after="0"/>
              <w:rPr>
                <w:sz w:val="2"/>
                <w:szCs w:val="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3"/>
              </w:rPr>
              <w:t>Transfers</w:t>
            </w:r>
          </w:p>
        </w:tc>
        <w:tc>
          <w:tcPr>
            <w:tcW w:w="100" w:type="dxa"/>
            <w:vAlign w:val="bottom"/>
          </w:tcPr>
          <w:p>
            <w:pPr>
              <w:spacing w:after="0"/>
              <w:rPr>
                <w:sz w:val="2"/>
                <w:szCs w:val="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7"/>
              </w:rPr>
              <w:t>Balance</w:t>
            </w: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w w:val="96"/>
              </w:rPr>
              <w:t>as of</w:t>
            </w: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7"/>
              </w:rPr>
              <w:t>Included</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5"/>
              </w:rPr>
              <w:t>Included in net</w:t>
            </w: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060" w:type="dxa"/>
            <w:vAlign w:val="bottom"/>
          </w:tcPr>
          <w:p>
            <w:pPr>
              <w:ind w:left="20"/>
              <w:spacing w:after="0" w:line="72" w:lineRule="exact"/>
              <w:rPr>
                <w:sz w:val="20"/>
                <w:szCs w:val="20"/>
                <w:color w:val="auto"/>
              </w:rPr>
            </w:pPr>
            <w:r>
              <w:rPr>
                <w:rFonts w:ascii="Arial" w:cs="Arial" w:eastAsia="Arial" w:hAnsi="Arial"/>
                <w:sz w:val="8"/>
                <w:szCs w:val="8"/>
                <w:b w:val="1"/>
                <w:bCs w:val="1"/>
                <w:color w:val="auto"/>
              </w:rPr>
              <w:t>(Amounts</w:t>
            </w:r>
          </w:p>
        </w:tc>
        <w:tc>
          <w:tcPr>
            <w:tcW w:w="140" w:type="dxa"/>
            <w:vAlign w:val="bottom"/>
          </w:tcPr>
          <w:p>
            <w:pPr>
              <w:spacing w:after="0"/>
              <w:rPr>
                <w:sz w:val="6"/>
                <w:szCs w:val="6"/>
                <w:color w:val="auto"/>
              </w:rPr>
            </w:pPr>
          </w:p>
        </w:tc>
        <w:tc>
          <w:tcPr>
            <w:tcW w:w="72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w w:val="95"/>
              </w:rPr>
              <w:t>January 1,</w:t>
            </w:r>
          </w:p>
        </w:tc>
        <w:tc>
          <w:tcPr>
            <w:tcW w:w="100" w:type="dxa"/>
            <w:vAlign w:val="bottom"/>
          </w:tcPr>
          <w:p>
            <w:pPr>
              <w:spacing w:after="0"/>
              <w:rPr>
                <w:sz w:val="6"/>
                <w:szCs w:val="6"/>
                <w:color w:val="auto"/>
              </w:rPr>
            </w:pPr>
          </w:p>
        </w:tc>
        <w:tc>
          <w:tcPr>
            <w:tcW w:w="70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w w:val="93"/>
              </w:rPr>
              <w:t>in net</w:t>
            </w: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Purchases</w:t>
            </w:r>
          </w:p>
        </w:tc>
        <w:tc>
          <w:tcPr>
            <w:tcW w:w="140" w:type="dxa"/>
            <w:vAlign w:val="bottom"/>
          </w:tcPr>
          <w:p>
            <w:pPr>
              <w:spacing w:after="0"/>
              <w:rPr>
                <w:sz w:val="6"/>
                <w:szCs w:val="6"/>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Sales</w:t>
            </w:r>
          </w:p>
        </w:tc>
        <w:tc>
          <w:tcPr>
            <w:tcW w:w="12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Issuance</w:t>
            </w:r>
          </w:p>
        </w:tc>
        <w:tc>
          <w:tcPr>
            <w:tcW w:w="140" w:type="dxa"/>
            <w:vAlign w:val="bottom"/>
          </w:tcPr>
          <w:p>
            <w:pPr>
              <w:spacing w:after="0"/>
              <w:rPr>
                <w:sz w:val="6"/>
                <w:szCs w:val="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Settlement</w:t>
            </w:r>
          </w:p>
        </w:tc>
        <w:tc>
          <w:tcPr>
            <w:tcW w:w="120" w:type="dxa"/>
            <w:vAlign w:val="bottom"/>
          </w:tcPr>
          <w:p>
            <w:pPr>
              <w:spacing w:after="0"/>
              <w:rPr>
                <w:sz w:val="6"/>
                <w:szCs w:val="6"/>
                <w:color w:val="auto"/>
              </w:rPr>
            </w:pPr>
          </w:p>
        </w:tc>
        <w:tc>
          <w:tcPr>
            <w:tcW w:w="72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w w:val="95"/>
              </w:rPr>
              <w:t>into</w:t>
            </w:r>
          </w:p>
        </w:tc>
        <w:tc>
          <w:tcPr>
            <w:tcW w:w="140" w:type="dxa"/>
            <w:vAlign w:val="bottom"/>
          </w:tcPr>
          <w:p>
            <w:pPr>
              <w:spacing w:after="0"/>
              <w:rPr>
                <w:sz w:val="6"/>
                <w:szCs w:val="6"/>
                <w:color w:val="auto"/>
              </w:rPr>
            </w:pPr>
          </w:p>
        </w:tc>
        <w:tc>
          <w:tcPr>
            <w:tcW w:w="72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w w:val="98"/>
              </w:rPr>
              <w:t>out of</w:t>
            </w:r>
          </w:p>
        </w:tc>
        <w:tc>
          <w:tcPr>
            <w:tcW w:w="100" w:type="dxa"/>
            <w:vAlign w:val="bottom"/>
          </w:tcPr>
          <w:p>
            <w:pPr>
              <w:spacing w:after="0"/>
              <w:rPr>
                <w:sz w:val="6"/>
                <w:szCs w:val="6"/>
                <w:color w:val="auto"/>
              </w:rPr>
            </w:pPr>
          </w:p>
        </w:tc>
        <w:tc>
          <w:tcPr>
            <w:tcW w:w="96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w w:val="96"/>
              </w:rPr>
              <w:t>as of</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00"/>
              <w:spacing w:after="0"/>
              <w:rPr>
                <w:sz w:val="20"/>
                <w:szCs w:val="20"/>
                <w:color w:val="auto"/>
              </w:rPr>
            </w:pPr>
            <w:r>
              <w:rPr>
                <w:rFonts w:ascii="Arial" w:cs="Arial" w:eastAsia="Arial" w:hAnsi="Arial"/>
                <w:sz w:val="8"/>
                <w:szCs w:val="8"/>
                <w:b w:val="1"/>
                <w:bCs w:val="1"/>
                <w:color w:val="auto"/>
                <w:w w:val="91"/>
              </w:rPr>
              <w:t>Included in OCI</w:t>
            </w:r>
          </w:p>
        </w:tc>
        <w:tc>
          <w:tcPr>
            <w:tcW w:w="0" w:type="dxa"/>
            <w:vAlign w:val="bottom"/>
          </w:tcPr>
          <w:p>
            <w:pPr>
              <w:spacing w:after="0"/>
              <w:rPr>
                <w:sz w:val="1"/>
                <w:szCs w:val="1"/>
                <w:color w:val="auto"/>
              </w:rPr>
            </w:pPr>
          </w:p>
        </w:tc>
      </w:tr>
      <w:tr>
        <w:trPr>
          <w:trHeight w:val="103"/>
        </w:trPr>
        <w:tc>
          <w:tcPr>
            <w:tcW w:w="1060" w:type="dxa"/>
            <w:vAlign w:val="bottom"/>
          </w:tcPr>
          <w:p>
            <w:pPr>
              <w:ind w:left="20"/>
              <w:spacing w:after="0"/>
              <w:rPr>
                <w:sz w:val="20"/>
                <w:szCs w:val="20"/>
                <w:color w:val="auto"/>
              </w:rPr>
            </w:pPr>
            <w:r>
              <w:rPr>
                <w:rFonts w:ascii="Arial" w:cs="Arial" w:eastAsia="Arial" w:hAnsi="Arial"/>
                <w:sz w:val="8"/>
                <w:szCs w:val="8"/>
                <w:b w:val="1"/>
                <w:bCs w:val="1"/>
                <w:color w:val="auto"/>
              </w:rPr>
              <w:t>in thousands)</w:t>
            </w:r>
          </w:p>
        </w:tc>
        <w:tc>
          <w:tcPr>
            <w:tcW w:w="140" w:type="dxa"/>
            <w:vAlign w:val="bottom"/>
          </w:tcPr>
          <w:p>
            <w:pPr>
              <w:spacing w:after="0"/>
              <w:rPr>
                <w:sz w:val="8"/>
                <w:szCs w:val="8"/>
                <w:color w:val="auto"/>
              </w:rPr>
            </w:pPr>
          </w:p>
        </w:tc>
        <w:tc>
          <w:tcPr>
            <w:tcW w:w="640" w:type="dxa"/>
            <w:vAlign w:val="bottom"/>
          </w:tcPr>
          <w:p>
            <w:pPr>
              <w:jc w:val="center"/>
              <w:ind w:right="81"/>
              <w:spacing w:after="0"/>
              <w:rPr>
                <w:sz w:val="20"/>
                <w:szCs w:val="20"/>
                <w:color w:val="auto"/>
              </w:rPr>
            </w:pPr>
            <w:r>
              <w:rPr>
                <w:rFonts w:ascii="Arial" w:cs="Arial" w:eastAsia="Arial" w:hAnsi="Arial"/>
                <w:sz w:val="8"/>
                <w:szCs w:val="8"/>
                <w:b w:val="1"/>
                <w:bCs w:val="1"/>
                <w:color w:val="auto"/>
                <w:w w:val="89"/>
              </w:rPr>
              <w:t>2019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2"/>
              </w:rPr>
              <w:t>income</w:t>
            </w:r>
          </w:p>
        </w:tc>
        <w:tc>
          <w:tcPr>
            <w:tcW w:w="140" w:type="dxa"/>
            <w:vAlign w:val="bottom"/>
          </w:tcPr>
          <w:p>
            <w:pPr>
              <w:spacing w:after="0"/>
              <w:rPr>
                <w:sz w:val="8"/>
                <w:szCs w:val="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3"/>
              </w:rPr>
              <w:t>in OCI</w:t>
            </w: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2"/>
              </w:rPr>
              <w:t>Level 3</w:t>
            </w:r>
            <w:r>
              <w:rPr>
                <w:rFonts w:ascii="Arial" w:cs="Arial" w:eastAsia="Arial" w:hAnsi="Arial"/>
                <w:sz w:val="9"/>
                <w:szCs w:val="9"/>
                <w:b w:val="1"/>
                <w:bCs w:val="1"/>
                <w:color w:val="auto"/>
                <w:w w:val="92"/>
                <w:vertAlign w:val="superscript"/>
              </w:rPr>
              <w:t>(1)</w:t>
            </w:r>
          </w:p>
        </w:tc>
        <w:tc>
          <w:tcPr>
            <w:tcW w:w="140" w:type="dxa"/>
            <w:vAlign w:val="bottom"/>
          </w:tcPr>
          <w:p>
            <w:pPr>
              <w:spacing w:after="0"/>
              <w:rPr>
                <w:sz w:val="8"/>
                <w:szCs w:val="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6"/>
              </w:rPr>
              <w:t>Level 3</w:t>
            </w:r>
            <w:r>
              <w:rPr>
                <w:rFonts w:ascii="Arial" w:cs="Arial" w:eastAsia="Arial" w:hAnsi="Arial"/>
                <w:sz w:val="9"/>
                <w:szCs w:val="9"/>
                <w:b w:val="1"/>
                <w:bCs w:val="1"/>
                <w:color w:val="auto"/>
                <w:w w:val="86"/>
                <w:vertAlign w:val="superscript"/>
              </w:rPr>
              <w:t>(1)</w:t>
            </w:r>
          </w:p>
        </w:tc>
        <w:tc>
          <w:tcPr>
            <w:tcW w:w="100" w:type="dxa"/>
            <w:vAlign w:val="bottom"/>
          </w:tcPr>
          <w:p>
            <w:pPr>
              <w:spacing w:after="0"/>
              <w:rPr>
                <w:sz w:val="8"/>
                <w:szCs w:val="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4"/>
              </w:rPr>
              <w:t>December 31, 2019</w:t>
            </w:r>
          </w:p>
        </w:tc>
        <w:tc>
          <w:tcPr>
            <w:tcW w:w="120" w:type="dxa"/>
            <w:vAlign w:val="bottom"/>
          </w:tcPr>
          <w:p>
            <w:pPr>
              <w:spacing w:after="0"/>
              <w:rPr>
                <w:sz w:val="8"/>
                <w:szCs w:val="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2"/>
              </w:rPr>
              <w:t>income</w:t>
            </w: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Fixed maturity securities:</w:t>
            </w: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60" w:type="dxa"/>
            <w:vAlign w:val="bottom"/>
          </w:tcPr>
          <w:p>
            <w:pPr>
              <w:ind w:left="100"/>
              <w:spacing w:after="0"/>
              <w:rPr>
                <w:sz w:val="20"/>
                <w:szCs w:val="20"/>
                <w:color w:val="auto"/>
              </w:rPr>
            </w:pPr>
            <w:r>
              <w:rPr>
                <w:rFonts w:ascii="Arial" w:cs="Arial" w:eastAsia="Arial" w:hAnsi="Arial"/>
                <w:sz w:val="8"/>
                <w:szCs w:val="8"/>
                <w:color w:val="auto"/>
              </w:rPr>
              <w:t>U.S. corporate</w:t>
            </w: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40" w:type="dxa"/>
            <w:vAlign w:val="bottom"/>
          </w:tcPr>
          <w:p>
            <w:pPr>
              <w:jc w:val="right"/>
              <w:ind w:right="1"/>
              <w:spacing w:after="0"/>
              <w:rPr>
                <w:sz w:val="20"/>
                <w:szCs w:val="20"/>
                <w:color w:val="auto"/>
              </w:rPr>
            </w:pPr>
            <w:r>
              <w:rPr>
                <w:rFonts w:ascii="Arial" w:cs="Arial" w:eastAsia="Arial" w:hAnsi="Arial"/>
                <w:sz w:val="8"/>
                <w:szCs w:val="8"/>
                <w:color w:val="auto"/>
              </w:rPr>
              <w:t>76,532</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spacing w:after="0"/>
              <w:rPr>
                <w:sz w:val="20"/>
                <w:szCs w:val="20"/>
                <w:color w:val="auto"/>
              </w:rPr>
            </w:pPr>
            <w:r>
              <w:rPr>
                <w:rFonts w:ascii="Arial" w:cs="Arial" w:eastAsia="Arial" w:hAnsi="Arial"/>
                <w:sz w:val="8"/>
                <w:szCs w:val="8"/>
                <w:color w:val="auto"/>
              </w:rPr>
              <w:t>(99)</w:t>
            </w:r>
          </w:p>
        </w:tc>
        <w:tc>
          <w:tcPr>
            <w:tcW w:w="100" w:type="dxa"/>
            <w:vAlign w:val="bottom"/>
          </w:tcPr>
          <w:p>
            <w:pPr>
              <w:spacing w:after="0"/>
              <w:rPr>
                <w:sz w:val="9"/>
                <w:szCs w:val="9"/>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8"/>
                <w:szCs w:val="8"/>
                <w:color w:val="auto"/>
              </w:rPr>
              <w:t>5,082</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38,000</w:t>
            </w:r>
          </w:p>
        </w:tc>
        <w:tc>
          <w:tcPr>
            <w:tcW w:w="10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480" w:type="dxa"/>
            <w:vAlign w:val="bottom"/>
          </w:tcPr>
          <w:p>
            <w:pPr>
              <w:jc w:val="right"/>
              <w:spacing w:after="0"/>
              <w:rPr>
                <w:sz w:val="20"/>
                <w:szCs w:val="20"/>
                <w:color w:val="auto"/>
              </w:rPr>
            </w:pPr>
            <w:r>
              <w:rPr>
                <w:rFonts w:ascii="Arial" w:cs="Arial" w:eastAsia="Arial" w:hAnsi="Arial"/>
                <w:sz w:val="8"/>
                <w:szCs w:val="8"/>
                <w:color w:val="auto"/>
              </w:rPr>
              <w:t>(5,003)</w:t>
            </w:r>
          </w:p>
        </w:tc>
        <w:tc>
          <w:tcPr>
            <w:tcW w:w="100" w:type="dxa"/>
            <w:vAlign w:val="bottom"/>
          </w:tcPr>
          <w:p>
            <w:pPr>
              <w:spacing w:after="0"/>
              <w:rPr>
                <w:sz w:val="9"/>
                <w:szCs w:val="9"/>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(13,663)</w:t>
            </w:r>
          </w:p>
        </w:tc>
        <w:tc>
          <w:tcPr>
            <w:tcW w:w="100" w:type="dxa"/>
            <w:vAlign w:val="bottom"/>
          </w:tcPr>
          <w:p>
            <w:pPr>
              <w:spacing w:after="0"/>
              <w:rPr>
                <w:sz w:val="9"/>
                <w:szCs w:val="9"/>
                <w:color w:val="auto"/>
              </w:rPr>
            </w:pP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w:t>
            </w:r>
          </w:p>
        </w:tc>
        <w:tc>
          <w:tcPr>
            <w:tcW w:w="640" w:type="dxa"/>
            <w:vAlign w:val="bottom"/>
          </w:tcPr>
          <w:p>
            <w:pPr>
              <w:jc w:val="right"/>
              <w:spacing w:after="0"/>
              <w:rPr>
                <w:sz w:val="20"/>
                <w:szCs w:val="20"/>
                <w:color w:val="auto"/>
              </w:rPr>
            </w:pPr>
            <w:r>
              <w:rPr>
                <w:rFonts w:ascii="Arial" w:cs="Arial" w:eastAsia="Arial" w:hAnsi="Arial"/>
                <w:sz w:val="8"/>
                <w:szCs w:val="8"/>
                <w:color w:val="auto"/>
              </w:rPr>
              <w:t>5,341</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640" w:type="dxa"/>
            <w:vAlign w:val="bottom"/>
          </w:tcPr>
          <w:p>
            <w:pPr>
              <w:jc w:val="right"/>
              <w:spacing w:after="0"/>
              <w:rPr>
                <w:sz w:val="20"/>
                <w:szCs w:val="20"/>
                <w:color w:val="auto"/>
              </w:rPr>
            </w:pPr>
            <w:r>
              <w:rPr>
                <w:rFonts w:ascii="Arial" w:cs="Arial" w:eastAsia="Arial" w:hAnsi="Arial"/>
                <w:sz w:val="8"/>
                <w:szCs w:val="8"/>
                <w:color w:val="auto"/>
              </w:rPr>
              <w:t>(6,328)</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spacing w:after="0"/>
              <w:rPr>
                <w:sz w:val="20"/>
                <w:szCs w:val="20"/>
                <w:color w:val="auto"/>
              </w:rPr>
            </w:pPr>
            <w:r>
              <w:rPr>
                <w:rFonts w:ascii="Arial" w:cs="Arial" w:eastAsia="Arial" w:hAnsi="Arial"/>
                <w:sz w:val="8"/>
                <w:szCs w:val="8"/>
                <w:color w:val="auto"/>
              </w:rPr>
              <w:t>99,862</w:t>
            </w:r>
          </w:p>
        </w:tc>
        <w:tc>
          <w:tcPr>
            <w:tcW w:w="80" w:type="dxa"/>
            <w:vAlign w:val="bottom"/>
          </w:tcPr>
          <w:p>
            <w:pPr>
              <w:spacing w:after="0"/>
              <w:rPr>
                <w:sz w:val="9"/>
                <w:szCs w:val="9"/>
                <w:color w:val="auto"/>
              </w:rPr>
            </w:pP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(102)</w:t>
            </w:r>
          </w:p>
        </w:tc>
        <w:tc>
          <w:tcPr>
            <w:tcW w:w="80" w:type="dxa"/>
            <w:vAlign w:val="bottom"/>
          </w:tcPr>
          <w:p>
            <w:pPr>
              <w:spacing w:after="0"/>
              <w:rPr>
                <w:sz w:val="9"/>
                <w:szCs w:val="9"/>
                <w:color w:val="auto"/>
              </w:rPr>
            </w:pPr>
          </w:p>
        </w:tc>
        <w:tc>
          <w:tcPr>
            <w:tcW w:w="140" w:type="dxa"/>
            <w:vAlign w:val="bottom"/>
          </w:tcPr>
          <w:p>
            <w:pPr>
              <w:jc w:val="right"/>
              <w:ind w:right="39"/>
              <w:spacing w:after="0"/>
              <w:rPr>
                <w:sz w:val="20"/>
                <w:szCs w:val="20"/>
                <w:color w:val="auto"/>
              </w:rPr>
            </w:pPr>
            <w:r>
              <w:rPr>
                <w:rFonts w:ascii="Arial" w:cs="Arial" w:eastAsia="Arial" w:hAnsi="Arial"/>
                <w:sz w:val="8"/>
                <w:szCs w:val="8"/>
                <w:color w:val="auto"/>
                <w:w w:val="88"/>
              </w:rPr>
              <w:t>$</w:t>
            </w:r>
          </w:p>
        </w:tc>
        <w:tc>
          <w:tcPr>
            <w:tcW w:w="700" w:type="dxa"/>
            <w:vAlign w:val="bottom"/>
          </w:tcPr>
          <w:p>
            <w:pPr>
              <w:jc w:val="right"/>
              <w:spacing w:after="0"/>
              <w:rPr>
                <w:sz w:val="20"/>
                <w:szCs w:val="20"/>
                <w:color w:val="auto"/>
              </w:rPr>
            </w:pPr>
            <w:r>
              <w:rPr>
                <w:rFonts w:ascii="Arial" w:cs="Arial" w:eastAsia="Arial" w:hAnsi="Arial"/>
                <w:sz w:val="8"/>
                <w:szCs w:val="8"/>
                <w:color w:val="auto"/>
              </w:rPr>
              <w:t>5,037</w:t>
            </w:r>
          </w:p>
        </w:tc>
        <w:tc>
          <w:tcPr>
            <w:tcW w:w="0" w:type="dxa"/>
            <w:vAlign w:val="bottom"/>
          </w:tcPr>
          <w:p>
            <w:pPr>
              <w:spacing w:after="0"/>
              <w:rPr>
                <w:sz w:val="1"/>
                <w:szCs w:val="1"/>
                <w:color w:val="auto"/>
              </w:rPr>
            </w:pPr>
          </w:p>
        </w:tc>
      </w:tr>
      <w:tr>
        <w:trPr>
          <w:trHeight w:val="132"/>
        </w:trPr>
        <w:tc>
          <w:tcPr>
            <w:tcW w:w="1060" w:type="dxa"/>
            <w:vAlign w:val="bottom"/>
            <w:shd w:val="clear" w:color="auto" w:fill="CCEEFF"/>
          </w:tcPr>
          <w:p>
            <w:pPr>
              <w:ind w:left="100"/>
              <w:spacing w:after="0"/>
              <w:rPr>
                <w:sz w:val="20"/>
                <w:szCs w:val="20"/>
                <w:color w:val="auto"/>
              </w:rPr>
            </w:pPr>
            <w:r>
              <w:rPr>
                <w:rFonts w:ascii="Arial" w:cs="Arial" w:eastAsia="Arial" w:hAnsi="Arial"/>
                <w:sz w:val="8"/>
                <w:szCs w:val="8"/>
                <w:color w:val="auto"/>
              </w:rPr>
              <w:t>Non-U.S. corporate</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8"/>
                <w:szCs w:val="8"/>
                <w:color w:val="auto"/>
              </w:rPr>
              <w:t>65,534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5,594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6,500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(422)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77,189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5,595</w:t>
            </w:r>
          </w:p>
        </w:tc>
        <w:tc>
          <w:tcPr>
            <w:tcW w:w="0" w:type="dxa"/>
            <w:vAlign w:val="bottom"/>
          </w:tcPr>
          <w:p>
            <w:pPr>
              <w:spacing w:after="0"/>
              <w:rPr>
                <w:sz w:val="1"/>
                <w:szCs w:val="1"/>
                <w:color w:val="auto"/>
              </w:rPr>
            </w:pPr>
          </w:p>
        </w:tc>
      </w:tr>
      <w:tr>
        <w:trPr>
          <w:trHeight w:val="115"/>
        </w:trPr>
        <w:tc>
          <w:tcPr>
            <w:tcW w:w="1060" w:type="dxa"/>
            <w:vAlign w:val="bottom"/>
          </w:tcPr>
          <w:p>
            <w:pPr>
              <w:ind w:left="100"/>
              <w:spacing w:after="0"/>
              <w:rPr>
                <w:sz w:val="20"/>
                <w:szCs w:val="20"/>
                <w:color w:val="auto"/>
              </w:rPr>
            </w:pPr>
            <w:r>
              <w:rPr>
                <w:rFonts w:ascii="Arial" w:cs="Arial" w:eastAsia="Arial" w:hAnsi="Arial"/>
                <w:sz w:val="8"/>
                <w:szCs w:val="8"/>
                <w:color w:val="auto"/>
              </w:rPr>
              <w:t>Other asset-backed</w:t>
            </w:r>
          </w:p>
        </w:tc>
        <w:tc>
          <w:tcPr>
            <w:tcW w:w="140" w:type="dxa"/>
            <w:vAlign w:val="bottom"/>
          </w:tcPr>
          <w:p>
            <w:pPr>
              <w:spacing w:after="0"/>
              <w:rPr>
                <w:sz w:val="9"/>
                <w:szCs w:val="9"/>
                <w:color w:val="auto"/>
              </w:rPr>
            </w:pPr>
          </w:p>
        </w:tc>
        <w:tc>
          <w:tcPr>
            <w:tcW w:w="640" w:type="dxa"/>
            <w:vAlign w:val="bottom"/>
          </w:tcPr>
          <w:p>
            <w:pPr>
              <w:jc w:val="right"/>
              <w:ind w:right="1"/>
              <w:spacing w:after="0"/>
              <w:rPr>
                <w:sz w:val="20"/>
                <w:szCs w:val="20"/>
                <w:color w:val="auto"/>
              </w:rPr>
            </w:pPr>
            <w:r>
              <w:rPr>
                <w:rFonts w:ascii="Arial" w:cs="Arial" w:eastAsia="Arial" w:hAnsi="Arial"/>
                <w:sz w:val="8"/>
                <w:szCs w:val="8"/>
                <w:color w:val="auto"/>
              </w:rPr>
              <w:t>3,930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ind w:left="4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490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16,797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ind w:left="36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640" w:type="dxa"/>
            <w:vAlign w:val="bottom"/>
            <w:gridSpan w:val="2"/>
          </w:tcPr>
          <w:p>
            <w:pPr>
              <w:ind w:left="4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(507)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(16,672)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4,038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364</w:t>
            </w:r>
          </w:p>
        </w:tc>
        <w:tc>
          <w:tcPr>
            <w:tcW w:w="0" w:type="dxa"/>
            <w:vAlign w:val="bottom"/>
          </w:tcPr>
          <w:p>
            <w:pPr>
              <w:spacing w:after="0"/>
              <w:rPr>
                <w:sz w:val="1"/>
                <w:szCs w:val="1"/>
                <w:color w:val="auto"/>
              </w:rPr>
            </w:pPr>
          </w:p>
        </w:tc>
      </w:tr>
      <w:tr>
        <w:trPr>
          <w:trHeight w:val="147"/>
        </w:trPr>
        <w:tc>
          <w:tcPr>
            <w:tcW w:w="1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Total</w:t>
            </w: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rPr>
              <w:t>145,996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11,166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61,297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(5,003)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8"/>
                <w:szCs w:val="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(14,592)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8,356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(26,014)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181,089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10,996</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 w:lineRule="exact"/>
        <w:rPr>
          <w:sz w:val="20"/>
          <w:szCs w:val="20"/>
          <w:color w:val="auto"/>
        </w:rPr>
      </w:pPr>
    </w:p>
    <w:p>
      <w:pPr>
        <w:ind w:left="240" w:hanging="238"/>
        <w:spacing w:after="0" w:line="212" w:lineRule="auto"/>
        <w:tabs>
          <w:tab w:leader="none" w:pos="234" w:val="left"/>
        </w:tabs>
        <w:numPr>
          <w:ilvl w:val="0"/>
          <w:numId w:val="66"/>
        </w:numPr>
        <w:rPr>
          <w:rFonts w:ascii="Arial" w:cs="Arial" w:eastAsia="Arial" w:hAnsi="Arial"/>
          <w:sz w:val="14"/>
          <w:szCs w:val="14"/>
          <w:color w:val="auto"/>
          <w:vertAlign w:val="superscript"/>
        </w:rPr>
      </w:pPr>
      <w:r>
        <w:rPr>
          <w:rFonts w:ascii="Arial" w:cs="Arial" w:eastAsia="Arial" w:hAnsi="Arial"/>
          <w:sz w:val="11"/>
          <w:szCs w:val="11"/>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11"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119"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amount presented for realized and unrealized gains (losses) included in net income for fixed maturity securities primarily represents amortization and accretion of premiums and discounts on certain fixed maturity securities recorded within net investment income.</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a summary of the significant unobservable inputs used for certain asset fair value measurements that are based on internal models and classified as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Level 3 as of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9"/>
              </w:rPr>
              <w:t>Valuation technique</w:t>
            </w:r>
          </w:p>
        </w:tc>
        <w:tc>
          <w:tcPr>
            <w:tcW w:w="13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4"/>
                <w:szCs w:val="14"/>
                <w:b w:val="1"/>
                <w:bCs w:val="1"/>
                <w:color w:val="auto"/>
                <w:vertAlign w:val="superscript"/>
              </w:rPr>
              <w:t>(1)</w:t>
            </w:r>
          </w:p>
        </w:tc>
        <w:tc>
          <w:tcPr>
            <w:tcW w:w="20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9"/>
              </w:rPr>
              <w:t>Unobservable input</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Range (bps)</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5"/>
              </w:rPr>
              <w:t xml:space="preserve">Weighted-average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33"/>
        </w:trPr>
        <w:tc>
          <w:tcPr>
            <w:tcW w:w="2760" w:type="dxa"/>
            <w:vAlign w:val="bottom"/>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6"/>
              </w:rPr>
              <w:t>(bps)</w:t>
            </w:r>
          </w:p>
        </w:tc>
        <w:tc>
          <w:tcPr>
            <w:tcW w:w="0" w:type="dxa"/>
            <w:vAlign w:val="bottom"/>
          </w:tcPr>
          <w:p>
            <w:pPr>
              <w:spacing w:after="0"/>
              <w:rPr>
                <w:sz w:val="1"/>
                <w:szCs w:val="1"/>
                <w:color w:val="auto"/>
              </w:rPr>
            </w:pPr>
          </w:p>
        </w:tc>
      </w:tr>
      <w:tr>
        <w:trPr>
          <w:trHeight w:val="165"/>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2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Internal models</w:t>
            </w:r>
          </w:p>
        </w:tc>
        <w:tc>
          <w:tcPr>
            <w:tcW w:w="1300" w:type="dxa"/>
            <w:vAlign w:val="bottom"/>
          </w:tcPr>
          <w:p>
            <w:pPr>
              <w:jc w:val="right"/>
              <w:ind w:right="296"/>
              <w:spacing w:after="0"/>
              <w:rPr>
                <w:sz w:val="20"/>
                <w:szCs w:val="20"/>
                <w:color w:val="auto"/>
              </w:rPr>
            </w:pPr>
            <w:r>
              <w:rPr>
                <w:rFonts w:ascii="Arial" w:cs="Arial" w:eastAsia="Arial" w:hAnsi="Arial"/>
                <w:sz w:val="14"/>
                <w:szCs w:val="14"/>
                <w:color w:val="auto"/>
              </w:rPr>
              <w:t>$216,999</w:t>
            </w:r>
          </w:p>
        </w:tc>
        <w:tc>
          <w:tcPr>
            <w:tcW w:w="80" w:type="dxa"/>
            <w:vAlign w:val="bottom"/>
          </w:tcPr>
          <w:p>
            <w:pPr>
              <w:spacing w:after="0"/>
              <w:rPr>
                <w:sz w:val="15"/>
                <w:szCs w:val="15"/>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Credit spreads</w:t>
            </w: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48 - 138</w:t>
            </w:r>
          </w:p>
        </w:tc>
        <w:tc>
          <w:tcPr>
            <w:tcW w:w="80" w:type="dxa"/>
            <w:vAlign w:val="bottom"/>
          </w:tcPr>
          <w:p>
            <w:pPr>
              <w:spacing w:after="0"/>
              <w:rPr>
                <w:sz w:val="15"/>
                <w:szCs w:val="15"/>
                <w:color w:val="auto"/>
              </w:rPr>
            </w:pPr>
          </w:p>
        </w:tc>
        <w:tc>
          <w:tcPr>
            <w:tcW w:w="1640" w:type="dxa"/>
            <w:vAlign w:val="bottom"/>
          </w:tcPr>
          <w:p>
            <w:pPr>
              <w:jc w:val="right"/>
              <w:ind w:right="67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corporate</w:t>
            </w:r>
          </w:p>
        </w:tc>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Internal models</w:t>
            </w:r>
          </w:p>
        </w:tc>
        <w:tc>
          <w:tcPr>
            <w:tcW w:w="1300" w:type="dxa"/>
            <w:vAlign w:val="bottom"/>
            <w:shd w:val="clear" w:color="auto" w:fill="CCEEFF"/>
          </w:tcPr>
          <w:p>
            <w:pPr>
              <w:jc w:val="right"/>
              <w:ind w:right="336"/>
              <w:spacing w:after="0"/>
              <w:rPr>
                <w:sz w:val="20"/>
                <w:szCs w:val="20"/>
                <w:color w:val="auto"/>
              </w:rPr>
            </w:pPr>
            <w:r>
              <w:rPr>
                <w:rFonts w:ascii="Arial" w:cs="Arial" w:eastAsia="Arial" w:hAnsi="Arial"/>
                <w:sz w:val="14"/>
                <w:szCs w:val="14"/>
                <w:color w:val="auto"/>
              </w:rPr>
              <w:t>$83,663</w:t>
            </w:r>
          </w:p>
        </w:tc>
        <w:tc>
          <w:tcPr>
            <w:tcW w:w="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Credit spreads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78 - 140</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63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33" w:lineRule="auto"/>
        <w:tabs>
          <w:tab w:leader="none" w:pos="234" w:val="left"/>
        </w:tabs>
        <w:numPr>
          <w:ilvl w:val="0"/>
          <w:numId w:val="67"/>
        </w:numPr>
        <w:rPr>
          <w:rFonts w:ascii="Arial" w:cs="Arial" w:eastAsia="Arial" w:hAnsi="Arial"/>
          <w:sz w:val="7"/>
          <w:szCs w:val="7"/>
          <w:color w:val="auto"/>
        </w:rPr>
      </w:pPr>
      <w:r>
        <w:rPr>
          <w:rFonts w:ascii="Arial" w:cs="Arial" w:eastAsia="Arial" w:hAnsi="Arial"/>
          <w:sz w:val="11"/>
          <w:szCs w:val="11"/>
          <w:color w:val="auto"/>
        </w:rPr>
        <w:t>Certain classes of instruments classified as Level 3 are excluded as a result of not being material or due to limitations in being able to obtain the underlying inputs used by certain third-party sources, such as broker quotes, used as an input in determining fair value.</w:t>
      </w:r>
    </w:p>
    <w:p>
      <w:pPr>
        <w:ind w:left="240" w:hanging="238"/>
        <w:spacing w:after="0"/>
        <w:tabs>
          <w:tab w:leader="none" w:pos="240" w:val="left"/>
        </w:tabs>
        <w:numPr>
          <w:ilvl w:val="0"/>
          <w:numId w:val="67"/>
        </w:numPr>
        <w:rPr>
          <w:rFonts w:ascii="Arial" w:cs="Arial" w:eastAsia="Arial" w:hAnsi="Arial"/>
          <w:sz w:val="7"/>
          <w:szCs w:val="7"/>
          <w:color w:val="auto"/>
        </w:rPr>
      </w:pPr>
      <w:r>
        <w:rPr>
          <w:rFonts w:ascii="Arial" w:cs="Arial" w:eastAsia="Arial" w:hAnsi="Arial"/>
          <w:sz w:val="11"/>
          <w:szCs w:val="11"/>
          <w:color w:val="auto"/>
        </w:rPr>
        <w:t>Unobservable inputs weighted by the relative fair value of the associated instrument.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Liabilities Not Required to Be Carried at Fair Value</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following table provides fair value information for financial instruments that are reflected in the accompanying consolidated financial statements at amounts other than fair value. 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8" w:name="page149"/>
    <w:bookmarkEnd w:id="148"/>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represents our estimated fair value of financial liabilities not required to be carried at fair value, classified as Level 2, as of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gridSpan w:val="7"/>
          </w:tcPr>
          <w:p>
            <w:pPr>
              <w:jc w:val="right"/>
              <w:ind w:right="1080"/>
              <w:spacing w:after="0"/>
              <w:rPr>
                <w:sz w:val="20"/>
                <w:szCs w:val="20"/>
                <w:color w:val="auto"/>
              </w:rPr>
            </w:pPr>
            <w:r>
              <w:rPr>
                <w:rFonts w:ascii="Arial" w:cs="Arial" w:eastAsia="Arial" w:hAnsi="Arial"/>
                <w:sz w:val="11"/>
                <w:szCs w:val="11"/>
                <w:b w:val="1"/>
                <w:bCs w:val="1"/>
                <w:color w:val="auto"/>
              </w:rPr>
              <w:t>As of 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1"/>
                <w:szCs w:val="11"/>
                <w:b w:val="1"/>
                <w:bCs w:val="1"/>
                <w:color w:val="auto"/>
              </w:rPr>
              <w:t>2021</w:t>
            </w: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rPr>
              <w:t>2020</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Carrying amount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5"/>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borrowings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740,416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821,033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738,162</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800,367</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(5)</w:t>
            </w:r>
          </w:p>
        </w:tc>
        <w:tc>
          <w:tcPr>
            <w:tcW w:w="47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b w:val="1"/>
                <w:bCs w:val="1"/>
                <w:color w:val="auto"/>
              </w:rPr>
              <w:t>Loss reserves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0" w:type="dxa"/>
            <w:vAlign w:val="bottom"/>
            <w:vMerge w:val="continue"/>
          </w:tcPr>
          <w:p>
            <w:pPr>
              <w:spacing w:after="0"/>
              <w:rPr>
                <w:sz w:val="24"/>
                <w:szCs w:val="24"/>
                <w:color w:val="auto"/>
              </w:rPr>
            </w:pPr>
          </w:p>
        </w:tc>
        <w:tc>
          <w:tcPr>
            <w:tcW w:w="4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Arial" w:cs="Arial" w:eastAsia="Arial" w:hAnsi="Arial"/>
                <w:sz w:val="14"/>
                <w:szCs w:val="14"/>
                <w:color w:val="auto"/>
              </w:rPr>
              <w:t>Activity for the liability for loss reserves is summarized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5"/>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reserves, beginning of year</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235,062</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297,879</w:t>
            </w:r>
          </w:p>
        </w:tc>
        <w:tc>
          <w:tcPr>
            <w:tcW w:w="0" w:type="dxa"/>
            <w:vAlign w:val="bottom"/>
          </w:tcPr>
          <w:p>
            <w:pPr>
              <w:spacing w:after="0"/>
              <w:rPr>
                <w:sz w:val="1"/>
                <w:szCs w:val="1"/>
                <w:color w:val="auto"/>
              </w:rPr>
            </w:pPr>
          </w:p>
        </w:tc>
      </w:tr>
      <w:tr>
        <w:trPr>
          <w:trHeight w:val="174"/>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Run-off reserves</w:t>
            </w: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65"/>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reserves, beginning of year</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555,025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233,465</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295,820</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Losses incurred related to current accident year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364,548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105,734</w:t>
            </w:r>
          </w:p>
        </w:tc>
        <w:tc>
          <w:tcPr>
            <w:tcW w:w="0" w:type="dxa"/>
            <w:vAlign w:val="bottom"/>
          </w:tcPr>
          <w:p>
            <w:pPr>
              <w:spacing w:after="0"/>
              <w:rPr>
                <w:sz w:val="1"/>
                <w:szCs w:val="1"/>
                <w:color w:val="auto"/>
              </w:rPr>
            </w:pPr>
          </w:p>
        </w:tc>
      </w:tr>
      <w:tr>
        <w:trPr>
          <w:trHeight w:val="174"/>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Losses incurred related to prior accident years</w:t>
            </w: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16,202</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(55,917)</w:t>
            </w:r>
          </w:p>
        </w:tc>
        <w:tc>
          <w:tcPr>
            <w:tcW w:w="0" w:type="dxa"/>
            <w:vAlign w:val="bottom"/>
          </w:tcPr>
          <w:p>
            <w:pPr>
              <w:spacing w:after="0"/>
              <w:rPr>
                <w:sz w:val="1"/>
                <w:szCs w:val="1"/>
                <w:color w:val="auto"/>
              </w:rPr>
            </w:pPr>
          </w:p>
        </w:tc>
      </w:tr>
      <w:tr>
        <w:trPr>
          <w:trHeight w:val="165"/>
        </w:trPr>
        <w:tc>
          <w:tcPr>
            <w:tcW w:w="49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4"/>
                <w:szCs w:val="14"/>
                <w:color w:val="auto"/>
              </w:rPr>
              <w:t xml:space="preserve">Total incurred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125,403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380,750</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49,817</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Losses paid related to current accident year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74"/>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Losses paid related to prior accident years</w:t>
            </w: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(39,547)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(58,087)</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(110,301)</w:t>
            </w:r>
          </w:p>
        </w:tc>
        <w:tc>
          <w:tcPr>
            <w:tcW w:w="0" w:type="dxa"/>
            <w:vAlign w:val="bottom"/>
          </w:tcPr>
          <w:p>
            <w:pPr>
              <w:spacing w:after="0"/>
              <w:rPr>
                <w:sz w:val="1"/>
                <w:szCs w:val="1"/>
                <w:color w:val="auto"/>
              </w:rPr>
            </w:pPr>
          </w:p>
        </w:tc>
      </w:tr>
      <w:tr>
        <w:trPr>
          <w:trHeight w:val="165"/>
        </w:trPr>
        <w:tc>
          <w:tcPr>
            <w:tcW w:w="49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4"/>
                <w:szCs w:val="14"/>
                <w:color w:val="auto"/>
              </w:rPr>
              <w:t xml:space="preserve">Total paid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(39,784)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(59,190)</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(112,172)</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reserves, end of year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640,644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555,025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233,465</w:t>
            </w:r>
          </w:p>
        </w:tc>
        <w:tc>
          <w:tcPr>
            <w:tcW w:w="0" w:type="dxa"/>
            <w:vAlign w:val="bottom"/>
          </w:tcPr>
          <w:p>
            <w:pPr>
              <w:spacing w:after="0"/>
              <w:rPr>
                <w:sz w:val="1"/>
                <w:szCs w:val="1"/>
                <w:color w:val="auto"/>
              </w:rPr>
            </w:pPr>
          </w:p>
        </w:tc>
      </w:tr>
      <w:tr>
        <w:trPr>
          <w:trHeight w:val="174"/>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Run-off reserves</w:t>
            </w: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Loss reserves, end of year</w:t>
            </w: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641,325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555,679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235,062</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tabs>
          <w:tab w:leader="none" w:pos="240" w:val="left"/>
        </w:tabs>
        <w:numPr>
          <w:ilvl w:val="0"/>
          <w:numId w:val="68"/>
        </w:numPr>
        <w:rPr>
          <w:rFonts w:ascii="Arial" w:cs="Arial" w:eastAsia="Arial" w:hAnsi="Arial"/>
          <w:sz w:val="7"/>
          <w:szCs w:val="7"/>
          <w:color w:val="auto"/>
        </w:rPr>
      </w:pPr>
      <w:r>
        <w:rPr>
          <w:rFonts w:ascii="Arial" w:cs="Arial" w:eastAsia="Arial" w:hAnsi="Arial"/>
          <w:sz w:val="11"/>
          <w:szCs w:val="11"/>
          <w:color w:val="auto"/>
        </w:rPr>
        <w:t>Losses and LAE incurred and paid exclude losses related to our run-off business.</w:t>
      </w:r>
    </w:p>
    <w:p>
      <w:pPr>
        <w:spacing w:after="0" w:line="115"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2021, losses and LAE incurred of $141.2 million related to insured events of the current accident year was primarily attributable to new delinquencies, a portion of which was from borrowers participating in deferred or reduced payments (“forbearance”) as a result of COVID-19. When establishing loss reserves for borrowers in forbearance, we assume a lower rate of delinquencies becoming active claims, which has the effect of producing a lower reserve compared to delinquencies that are not in forbearance.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9" w:name="page150"/>
    <w:bookmarkEnd w:id="149"/>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Historical experience with localized natural disasters, such as hurricanes, indicates a higher cure rate for borrowers in forbearance. Unlike a hurricane where the natural disaster occurs at a point in time and the rebuild starts soon after, COVID-19 brought ongoing displacement to the mortgage insurance market, making it more difficult to determine the effectiveness of forbearance and the resulting claim rates for new delinquencies in forbearance plans. Given this difference, we initially leveraged our prior hurricane experience and have recently layered in cure activity from COVID-19 related delinquencies as considerations in the establishment of an appropriate claim rate estimate for new delinquencies in forbearance plans that have emerged as a result of COVID-19. Loss reserves recorded on these new delinquencies have a high degree of estimation due to the level of uncertainty regarding whether delinquencies in forbearance will ultimately cure or result in claim payments.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During 2021, we experienced favorable reserve development of $15.8 million in incurred losses attributable to prior years, primarily from lower expected claim rates on pre-COVID delinquencies. Included within this decrease to incurred losses attributable to prior years, we recorded $22 million in favorable reserves adjustments.</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2020, losses and LAE incurred of $364.5 million related to insured events of the current accident year was primarily attributable to a significant increase in the number of new delinquencies driven mostly by borrower forbearance as a result of COVID-19.</w:t>
      </w:r>
    </w:p>
    <w:p>
      <w:pPr>
        <w:spacing w:after="0" w:line="119"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During 2020, we experienced unfavorable reserve development of $16.2 million in incurred losses attributable to prior years, primarily from higher expected claim rates due to economic conditions occurring in the COVID-19 environment. Included within this increase to incurred losses attributable to prior years, we recorded $28.4 million in unfavorable reserves adjustments, primarily associated with higher expected, future claim rates, partially offset by a $12.2 million decrease, primarily due to higher than expected delinquency cures.</w:t>
      </w:r>
    </w:p>
    <w:p>
      <w:pPr>
        <w:spacing w:after="0" w:line="103"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During 2019, we experienced favorable reserve development of $55.9 million in incurred losses attributable to prior years, primarily from lower actual and expected claim rates due to improvements in the overall housing market. Included within these reductions to incurred losses attributable to prior years, we recorded $22.7 million favorable reserves adjustments in 2019, primarily associated with lower expected claim rates. The remaining reduction of $33.2 million in 2019 was primarily the result of higher than expected delinquency cures.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0" w:name="page151"/>
    <w:bookmarkEnd w:id="150"/>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following table sets forth information about incurred claims, as well as cumulative number of reported delinquencies and the total of incurred-but-not-reported (“IBNR”) liabilities plus expected development on reported claims included within the net incurred claims as of December 31, 2021. The information about the incurred claims development for the years ended December 31, 2012 to 2021, is presented as supplementary information.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760" w:type="dxa"/>
            <w:vAlign w:val="bottom"/>
          </w:tcPr>
          <w:p>
            <w:pPr>
              <w:ind w:left="20"/>
              <w:spacing w:after="0"/>
              <w:rPr>
                <w:sz w:val="20"/>
                <w:szCs w:val="20"/>
                <w:color w:val="auto"/>
              </w:rPr>
            </w:pPr>
            <w:r>
              <w:rPr>
                <w:rFonts w:ascii="Arial" w:cs="Arial" w:eastAsia="Arial" w:hAnsi="Arial"/>
                <w:sz w:val="8"/>
                <w:szCs w:val="8"/>
                <w:b w:val="1"/>
                <w:bCs w:val="1"/>
                <w:color w:val="auto"/>
              </w:rPr>
              <w:t>(Dollar amounts in</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60" w:type="dxa"/>
            <w:vAlign w:val="bottom"/>
            <w:gridSpan w:val="7"/>
            <w:vMerge w:val="restart"/>
          </w:tcPr>
          <w:p>
            <w:pPr>
              <w:jc w:val="right"/>
              <w:ind w:right="39"/>
              <w:spacing w:after="0"/>
              <w:rPr>
                <w:sz w:val="20"/>
                <w:szCs w:val="20"/>
                <w:color w:val="auto"/>
              </w:rPr>
            </w:pPr>
            <w:r>
              <w:rPr>
                <w:rFonts w:ascii="Arial" w:cs="Arial" w:eastAsia="Arial" w:hAnsi="Arial"/>
                <w:sz w:val="8"/>
                <w:szCs w:val="8"/>
                <w:b w:val="1"/>
                <w:bCs w:val="1"/>
                <w:color w:val="auto"/>
              </w:rPr>
              <w:t xml:space="preserve">Incurred claims and allocated loss adjustment expenses, net of reinsurance </w:t>
            </w:r>
            <w:r>
              <w:rPr>
                <w:rFonts w:ascii="Arial" w:cs="Arial" w:eastAsia="Arial" w:hAnsi="Arial"/>
                <w:sz w:val="10"/>
                <w:szCs w:val="10"/>
                <w:b w:val="1"/>
                <w:bCs w:val="1"/>
                <w:color w:val="auto"/>
                <w:vertAlign w:val="superscript"/>
              </w:rPr>
              <w:t>(2)</w:t>
            </w: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thousands)</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gridSpan w:val="7"/>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ind w:right="19"/>
              <w:spacing w:after="0"/>
              <w:rPr>
                <w:sz w:val="20"/>
                <w:szCs w:val="20"/>
                <w:color w:val="auto"/>
              </w:rPr>
            </w:pPr>
            <w:r>
              <w:rPr>
                <w:rFonts w:ascii="Arial" w:cs="Arial" w:eastAsia="Arial" w:hAnsi="Arial"/>
                <w:sz w:val="8"/>
                <w:szCs w:val="8"/>
                <w:b w:val="1"/>
                <w:bCs w:val="1"/>
                <w:color w:val="auto"/>
              </w:rPr>
              <w:t>Total IBNR liabilities</w:t>
            </w: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3"/>
          </w:tcPr>
          <w:p>
            <w:pPr>
              <w:ind w:left="80"/>
              <w:spacing w:after="0"/>
              <w:rPr>
                <w:sz w:val="20"/>
                <w:szCs w:val="20"/>
                <w:color w:val="auto"/>
              </w:rPr>
            </w:pPr>
            <w:r>
              <w:rPr>
                <w:rFonts w:ascii="Arial" w:cs="Arial" w:eastAsia="Arial" w:hAnsi="Arial"/>
                <w:sz w:val="8"/>
                <w:szCs w:val="8"/>
                <w:b w:val="1"/>
                <w:bCs w:val="1"/>
                <w:color w:val="auto"/>
              </w:rPr>
              <w:t>For the years ended December 31,</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jc w:val="center"/>
              <w:ind w:right="19"/>
              <w:spacing w:after="0"/>
              <w:rPr>
                <w:sz w:val="20"/>
                <w:szCs w:val="20"/>
                <w:color w:val="auto"/>
              </w:rPr>
            </w:pPr>
            <w:r>
              <w:rPr>
                <w:rFonts w:ascii="Arial" w:cs="Arial" w:eastAsia="Arial" w:hAnsi="Arial"/>
                <w:sz w:val="8"/>
                <w:szCs w:val="8"/>
                <w:b w:val="1"/>
                <w:bCs w:val="1"/>
                <w:color w:val="auto"/>
              </w:rPr>
              <w:t>including expected</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7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tcPr>
          <w:p>
            <w:pPr>
              <w:jc w:val="center"/>
              <w:spacing w:after="0" w:line="60" w:lineRule="exact"/>
              <w:rPr>
                <w:sz w:val="20"/>
                <w:szCs w:val="20"/>
                <w:color w:val="auto"/>
              </w:rPr>
            </w:pPr>
            <w:r>
              <w:rPr>
                <w:rFonts w:ascii="Arial" w:cs="Arial" w:eastAsia="Arial" w:hAnsi="Arial"/>
                <w:sz w:val="6"/>
                <w:szCs w:val="6"/>
                <w:b w:val="1"/>
                <w:bCs w:val="1"/>
                <w:color w:val="auto"/>
              </w:rPr>
              <w:t>development on reported</w:t>
            </w:r>
          </w:p>
        </w:tc>
        <w:tc>
          <w:tcPr>
            <w:tcW w:w="80" w:type="dxa"/>
            <w:vAlign w:val="bottom"/>
          </w:tcPr>
          <w:p>
            <w:pPr>
              <w:spacing w:after="0"/>
              <w:rPr>
                <w:sz w:val="5"/>
                <w:szCs w:val="5"/>
                <w:color w:val="auto"/>
              </w:rPr>
            </w:pPr>
          </w:p>
        </w:tc>
        <w:tc>
          <w:tcPr>
            <w:tcW w:w="1060" w:type="dxa"/>
            <w:vAlign w:val="bottom"/>
          </w:tcPr>
          <w:p>
            <w:pPr>
              <w:jc w:val="center"/>
              <w:spacing w:after="0"/>
              <w:rPr>
                <w:sz w:val="20"/>
                <w:szCs w:val="20"/>
                <w:color w:val="auto"/>
              </w:rPr>
            </w:pPr>
            <w:r>
              <w:rPr>
                <w:rFonts w:ascii="Arial" w:cs="Arial" w:eastAsia="Arial" w:hAnsi="Arial"/>
                <w:sz w:val="5"/>
                <w:szCs w:val="5"/>
                <w:b w:val="1"/>
                <w:bCs w:val="1"/>
                <w:color w:val="auto"/>
              </w:rPr>
              <w:t>Number of</w:t>
            </w:r>
          </w:p>
        </w:tc>
        <w:tc>
          <w:tcPr>
            <w:tcW w:w="0" w:type="dxa"/>
            <w:vAlign w:val="bottom"/>
          </w:tcPr>
          <w:p>
            <w:pPr>
              <w:spacing w:after="0"/>
              <w:rPr>
                <w:sz w:val="1"/>
                <w:szCs w:val="1"/>
                <w:color w:val="auto"/>
              </w:rPr>
            </w:pPr>
          </w:p>
        </w:tc>
      </w:tr>
      <w:tr>
        <w:trPr>
          <w:trHeight w:val="95"/>
        </w:trPr>
        <w:tc>
          <w:tcPr>
            <w:tcW w:w="760" w:type="dxa"/>
            <w:vAlign w:val="bottom"/>
          </w:tcPr>
          <w:p>
            <w:pPr>
              <w:ind w:left="20"/>
              <w:spacing w:after="0"/>
              <w:rPr>
                <w:sz w:val="20"/>
                <w:szCs w:val="20"/>
                <w:color w:val="auto"/>
              </w:rPr>
            </w:pPr>
            <w:r>
              <w:rPr>
                <w:rFonts w:ascii="Arial" w:cs="Arial" w:eastAsia="Arial" w:hAnsi="Arial"/>
                <w:sz w:val="8"/>
                <w:szCs w:val="8"/>
                <w:b w:val="1"/>
                <w:bCs w:val="1"/>
                <w:color w:val="auto"/>
              </w:rPr>
              <w:t>Accident</w:t>
            </w:r>
          </w:p>
        </w:tc>
        <w:tc>
          <w:tcPr>
            <w:tcW w:w="180" w:type="dxa"/>
            <w:vAlign w:val="bottom"/>
          </w:tcPr>
          <w:p>
            <w:pPr>
              <w:spacing w:after="0"/>
              <w:rPr>
                <w:sz w:val="8"/>
                <w:szCs w:val="8"/>
                <w:color w:val="auto"/>
              </w:rPr>
            </w:pPr>
          </w:p>
        </w:tc>
        <w:tc>
          <w:tcPr>
            <w:tcW w:w="60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2012</w:t>
            </w:r>
          </w:p>
        </w:tc>
        <w:tc>
          <w:tcPr>
            <w:tcW w:w="200" w:type="dxa"/>
            <w:vAlign w:val="bottom"/>
          </w:tcPr>
          <w:p>
            <w:pPr>
              <w:spacing w:after="0"/>
              <w:rPr>
                <w:sz w:val="8"/>
                <w:szCs w:val="8"/>
                <w:color w:val="auto"/>
              </w:rPr>
            </w:pPr>
          </w:p>
        </w:tc>
        <w:tc>
          <w:tcPr>
            <w:tcW w:w="62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2013</w:t>
            </w:r>
          </w:p>
        </w:tc>
        <w:tc>
          <w:tcPr>
            <w:tcW w:w="200" w:type="dxa"/>
            <w:vAlign w:val="bottom"/>
          </w:tcPr>
          <w:p>
            <w:pPr>
              <w:spacing w:after="0"/>
              <w:rPr>
                <w:sz w:val="8"/>
                <w:szCs w:val="8"/>
                <w:color w:val="auto"/>
              </w:rPr>
            </w:pPr>
          </w:p>
        </w:tc>
        <w:tc>
          <w:tcPr>
            <w:tcW w:w="60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2014</w:t>
            </w:r>
          </w:p>
        </w:tc>
        <w:tc>
          <w:tcPr>
            <w:tcW w:w="100" w:type="dxa"/>
            <w:vAlign w:val="bottom"/>
          </w:tcPr>
          <w:p>
            <w:pPr>
              <w:spacing w:after="0"/>
              <w:rPr>
                <w:sz w:val="8"/>
                <w:szCs w:val="8"/>
                <w:color w:val="auto"/>
              </w:rPr>
            </w:pPr>
          </w:p>
        </w:tc>
        <w:tc>
          <w:tcPr>
            <w:tcW w:w="72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2015</w:t>
            </w:r>
          </w:p>
        </w:tc>
        <w:tc>
          <w:tcPr>
            <w:tcW w:w="160" w:type="dxa"/>
            <w:vAlign w:val="bottom"/>
          </w:tcPr>
          <w:p>
            <w:pPr>
              <w:spacing w:after="0"/>
              <w:rPr>
                <w:sz w:val="8"/>
                <w:szCs w:val="8"/>
                <w:color w:val="auto"/>
              </w:rPr>
            </w:pPr>
          </w:p>
        </w:tc>
        <w:tc>
          <w:tcPr>
            <w:tcW w:w="64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2016</w:t>
            </w:r>
          </w:p>
        </w:tc>
        <w:tc>
          <w:tcPr>
            <w:tcW w:w="200" w:type="dxa"/>
            <w:vAlign w:val="bottom"/>
          </w:tcPr>
          <w:p>
            <w:pPr>
              <w:spacing w:after="0"/>
              <w:rPr>
                <w:sz w:val="8"/>
                <w:szCs w:val="8"/>
                <w:color w:val="auto"/>
              </w:rPr>
            </w:pPr>
          </w:p>
        </w:tc>
        <w:tc>
          <w:tcPr>
            <w:tcW w:w="62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2017</w:t>
            </w:r>
          </w:p>
        </w:tc>
        <w:tc>
          <w:tcPr>
            <w:tcW w:w="200" w:type="dxa"/>
            <w:vAlign w:val="bottom"/>
          </w:tcPr>
          <w:p>
            <w:pPr>
              <w:spacing w:after="0"/>
              <w:rPr>
                <w:sz w:val="8"/>
                <w:szCs w:val="8"/>
                <w:color w:val="auto"/>
              </w:rPr>
            </w:pPr>
          </w:p>
        </w:tc>
        <w:tc>
          <w:tcPr>
            <w:tcW w:w="62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2018</w:t>
            </w:r>
          </w:p>
        </w:tc>
        <w:tc>
          <w:tcPr>
            <w:tcW w:w="200" w:type="dxa"/>
            <w:vAlign w:val="bottom"/>
          </w:tcPr>
          <w:p>
            <w:pPr>
              <w:spacing w:after="0"/>
              <w:rPr>
                <w:sz w:val="8"/>
                <w:szCs w:val="8"/>
                <w:color w:val="auto"/>
              </w:rPr>
            </w:pPr>
          </w:p>
        </w:tc>
        <w:tc>
          <w:tcPr>
            <w:tcW w:w="620" w:type="dxa"/>
            <w:vAlign w:val="bottom"/>
            <w:vMerge w:val="restart"/>
          </w:tcPr>
          <w:p>
            <w:pPr>
              <w:jc w:val="right"/>
              <w:ind w:right="259"/>
              <w:spacing w:after="0"/>
              <w:rPr>
                <w:sz w:val="20"/>
                <w:szCs w:val="20"/>
                <w:color w:val="auto"/>
              </w:rPr>
            </w:pPr>
            <w:r>
              <w:rPr>
                <w:rFonts w:ascii="Arial" w:cs="Arial" w:eastAsia="Arial" w:hAnsi="Arial"/>
                <w:sz w:val="8"/>
                <w:szCs w:val="8"/>
                <w:b w:val="1"/>
                <w:bCs w:val="1"/>
                <w:color w:val="auto"/>
              </w:rPr>
              <w:t>2019</w:t>
            </w:r>
          </w:p>
        </w:tc>
        <w:tc>
          <w:tcPr>
            <w:tcW w:w="200" w:type="dxa"/>
            <w:vAlign w:val="bottom"/>
          </w:tcPr>
          <w:p>
            <w:pPr>
              <w:spacing w:after="0"/>
              <w:rPr>
                <w:sz w:val="8"/>
                <w:szCs w:val="8"/>
                <w:color w:val="auto"/>
              </w:rPr>
            </w:pPr>
          </w:p>
        </w:tc>
        <w:tc>
          <w:tcPr>
            <w:tcW w:w="640" w:type="dxa"/>
            <w:vAlign w:val="bottom"/>
            <w:vMerge w:val="restart"/>
          </w:tcPr>
          <w:p>
            <w:pPr>
              <w:jc w:val="right"/>
              <w:ind w:right="279"/>
              <w:spacing w:after="0"/>
              <w:rPr>
                <w:sz w:val="20"/>
                <w:szCs w:val="20"/>
                <w:color w:val="auto"/>
              </w:rPr>
            </w:pPr>
            <w:r>
              <w:rPr>
                <w:rFonts w:ascii="Arial" w:cs="Arial" w:eastAsia="Arial" w:hAnsi="Arial"/>
                <w:sz w:val="8"/>
                <w:szCs w:val="8"/>
                <w:b w:val="1"/>
                <w:bCs w:val="1"/>
                <w:color w:val="auto"/>
              </w:rPr>
              <w:t>2020</w:t>
            </w:r>
          </w:p>
        </w:tc>
        <w:tc>
          <w:tcPr>
            <w:tcW w:w="220" w:type="dxa"/>
            <w:vAlign w:val="bottom"/>
          </w:tcPr>
          <w:p>
            <w:pPr>
              <w:spacing w:after="0"/>
              <w:rPr>
                <w:sz w:val="8"/>
                <w:szCs w:val="8"/>
                <w:color w:val="auto"/>
              </w:rPr>
            </w:pPr>
          </w:p>
        </w:tc>
        <w:tc>
          <w:tcPr>
            <w:tcW w:w="720" w:type="dxa"/>
            <w:vAlign w:val="bottom"/>
            <w:vMerge w:val="restart"/>
          </w:tcPr>
          <w:p>
            <w:pPr>
              <w:jc w:val="right"/>
              <w:ind w:right="339"/>
              <w:spacing w:after="0"/>
              <w:rPr>
                <w:sz w:val="20"/>
                <w:szCs w:val="20"/>
                <w:color w:val="auto"/>
              </w:rPr>
            </w:pPr>
            <w:r>
              <w:rPr>
                <w:rFonts w:ascii="Arial" w:cs="Arial" w:eastAsia="Arial" w:hAnsi="Arial"/>
                <w:sz w:val="8"/>
                <w:szCs w:val="8"/>
                <w:b w:val="1"/>
                <w:bCs w:val="1"/>
                <w:color w:val="auto"/>
              </w:rPr>
              <w:t>2021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jc w:val="center"/>
              <w:ind w:right="19"/>
              <w:spacing w:after="0"/>
              <w:rPr>
                <w:sz w:val="20"/>
                <w:szCs w:val="20"/>
                <w:color w:val="auto"/>
              </w:rPr>
            </w:pPr>
            <w:r>
              <w:rPr>
                <w:rFonts w:ascii="Arial" w:cs="Arial" w:eastAsia="Arial" w:hAnsi="Arial"/>
                <w:sz w:val="8"/>
                <w:szCs w:val="8"/>
                <w:b w:val="1"/>
                <w:bCs w:val="1"/>
                <w:color w:val="auto"/>
              </w:rPr>
              <w:t>claims as of December</w:t>
            </w:r>
          </w:p>
        </w:tc>
        <w:tc>
          <w:tcPr>
            <w:tcW w:w="8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Arial" w:cs="Arial" w:eastAsia="Arial" w:hAnsi="Arial"/>
                <w:sz w:val="8"/>
                <w:szCs w:val="8"/>
                <w:b w:val="1"/>
                <w:bCs w:val="1"/>
                <w:color w:val="auto"/>
                <w:w w:val="98"/>
              </w:rPr>
              <w:t>reported</w:t>
            </w:r>
          </w:p>
        </w:tc>
        <w:tc>
          <w:tcPr>
            <w:tcW w:w="0" w:type="dxa"/>
            <w:vAlign w:val="bottom"/>
          </w:tcPr>
          <w:p>
            <w:pPr>
              <w:spacing w:after="0"/>
              <w:rPr>
                <w:sz w:val="1"/>
                <w:szCs w:val="1"/>
                <w:color w:val="auto"/>
              </w:rPr>
            </w:pPr>
          </w:p>
        </w:tc>
      </w:tr>
      <w:tr>
        <w:trPr>
          <w:trHeight w:val="103"/>
        </w:trPr>
        <w:tc>
          <w:tcPr>
            <w:tcW w:w="760" w:type="dxa"/>
            <w:vAlign w:val="bottom"/>
            <w:tcBorders>
              <w:bottom w:val="single" w:sz="8" w:color="auto"/>
            </w:tcBorders>
          </w:tcPr>
          <w:p>
            <w:pPr>
              <w:ind w:left="20"/>
              <w:spacing w:after="0" w:line="103" w:lineRule="exact"/>
              <w:rPr>
                <w:sz w:val="20"/>
                <w:szCs w:val="20"/>
                <w:color w:val="auto"/>
              </w:rPr>
            </w:pPr>
            <w:r>
              <w:rPr>
                <w:rFonts w:ascii="Arial" w:cs="Arial" w:eastAsia="Arial" w:hAnsi="Arial"/>
                <w:sz w:val="8"/>
                <w:szCs w:val="8"/>
                <w:b w:val="1"/>
                <w:bCs w:val="1"/>
                <w:color w:val="auto"/>
              </w:rPr>
              <w:t xml:space="preserve">year </w:t>
            </w:r>
            <w:r>
              <w:rPr>
                <w:rFonts w:ascii="Arial" w:cs="Arial" w:eastAsia="Arial" w:hAnsi="Arial"/>
                <w:sz w:val="10"/>
                <w:szCs w:val="10"/>
                <w:b w:val="1"/>
                <w:bCs w:val="1"/>
                <w:color w:val="auto"/>
                <w:vertAlign w:val="superscript"/>
              </w:rPr>
              <w:t>(1)</w:t>
            </w: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8"/>
                <w:szCs w:val="8"/>
                <w:b w:val="1"/>
                <w:bCs w:val="1"/>
                <w:color w:val="auto"/>
              </w:rPr>
              <w:t>31, 2021</w:t>
            </w:r>
          </w:p>
        </w:tc>
        <w:tc>
          <w:tcPr>
            <w:tcW w:w="80" w:type="dxa"/>
            <w:vAlign w:val="bottom"/>
          </w:tcPr>
          <w:p>
            <w:pPr>
              <w:spacing w:after="0"/>
              <w:rPr>
                <w:sz w:val="8"/>
                <w:szCs w:val="8"/>
                <w:color w:val="auto"/>
              </w:rPr>
            </w:pPr>
          </w:p>
        </w:tc>
        <w:tc>
          <w:tcPr>
            <w:tcW w:w="106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8"/>
                <w:szCs w:val="8"/>
                <w:b w:val="1"/>
                <w:bCs w:val="1"/>
                <w:color w:val="auto"/>
                <w:w w:val="94"/>
              </w:rPr>
              <w:t>delinquencies</w:t>
            </w:r>
            <w:r>
              <w:rPr>
                <w:rFonts w:ascii="Arial" w:cs="Arial" w:eastAsia="Arial" w:hAnsi="Arial"/>
                <w:sz w:val="10"/>
                <w:szCs w:val="10"/>
                <w:b w:val="1"/>
                <w:bCs w:val="1"/>
                <w:color w:val="auto"/>
                <w:w w:val="94"/>
                <w:vertAlign w:val="superscript"/>
              </w:rPr>
              <w:t>(3)</w:t>
            </w:r>
          </w:p>
        </w:tc>
        <w:tc>
          <w:tcPr>
            <w:tcW w:w="0" w:type="dxa"/>
            <w:vAlign w:val="bottom"/>
          </w:tcPr>
          <w:p>
            <w:pPr>
              <w:spacing w:after="0"/>
              <w:rPr>
                <w:sz w:val="1"/>
                <w:szCs w:val="1"/>
                <w:color w:val="auto"/>
              </w:rPr>
            </w:pPr>
          </w:p>
        </w:tc>
      </w:tr>
      <w:tr>
        <w:trPr>
          <w:trHeight w:val="106"/>
        </w:trPr>
        <w:tc>
          <w:tcPr>
            <w:tcW w:w="7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8"/>
                <w:szCs w:val="8"/>
                <w:b w:val="1"/>
                <w:bCs w:val="1"/>
                <w:color w:val="auto"/>
              </w:rPr>
              <w:t>Unaudited</w:t>
            </w: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60" w:type="dxa"/>
            <w:vAlign w:val="bottom"/>
            <w:shd w:val="clear" w:color="auto" w:fill="CCEEFF"/>
          </w:tcPr>
          <w:p>
            <w:pPr>
              <w:ind w:left="20"/>
              <w:spacing w:after="0"/>
              <w:rPr>
                <w:sz w:val="20"/>
                <w:szCs w:val="20"/>
                <w:color w:val="auto"/>
              </w:rPr>
            </w:pPr>
            <w:r>
              <w:rPr>
                <w:rFonts w:ascii="Arial" w:cs="Arial" w:eastAsia="Arial" w:hAnsi="Arial"/>
                <w:sz w:val="8"/>
                <w:szCs w:val="8"/>
                <w:color w:val="auto"/>
              </w:rPr>
              <w:t>2012</w:t>
            </w:r>
          </w:p>
        </w:tc>
        <w:tc>
          <w:tcPr>
            <w:tcW w:w="18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717,871</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675,230</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670,773</w:t>
            </w: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673,660</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671,492</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668,452</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666,673</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665,775</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666,351</w:t>
            </w:r>
          </w:p>
        </w:tc>
        <w:tc>
          <w:tcPr>
            <w:tcW w:w="22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w w:val="8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666,600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w:t>
            </w:r>
          </w:p>
        </w:tc>
        <w:tc>
          <w:tcPr>
            <w:tcW w:w="1140" w:type="dxa"/>
            <w:vAlign w:val="bottom"/>
            <w:gridSpan w:val="2"/>
            <w:shd w:val="clear" w:color="auto" w:fill="CCEEFF"/>
          </w:tcPr>
          <w:p>
            <w:pPr>
              <w:jc w:val="right"/>
              <w:ind w:right="5"/>
              <w:spacing w:after="0"/>
              <w:rPr>
                <w:sz w:val="20"/>
                <w:szCs w:val="20"/>
                <w:color w:val="auto"/>
              </w:rPr>
            </w:pPr>
            <w:r>
              <w:rPr>
                <w:rFonts w:ascii="Arial" w:cs="Arial" w:eastAsia="Arial" w:hAnsi="Arial"/>
                <w:sz w:val="8"/>
                <w:szCs w:val="8"/>
                <w:color w:val="auto"/>
              </w:rPr>
              <w:t>31,126</w:t>
            </w:r>
          </w:p>
        </w:tc>
        <w:tc>
          <w:tcPr>
            <w:tcW w:w="0" w:type="dxa"/>
            <w:vAlign w:val="bottom"/>
          </w:tcPr>
          <w:p>
            <w:pPr>
              <w:spacing w:after="0"/>
              <w:rPr>
                <w:sz w:val="1"/>
                <w:szCs w:val="1"/>
                <w:color w:val="auto"/>
              </w:rPr>
            </w:pPr>
          </w:p>
        </w:tc>
      </w:tr>
      <w:tr>
        <w:trPr>
          <w:trHeight w:val="115"/>
        </w:trPr>
        <w:tc>
          <w:tcPr>
            <w:tcW w:w="760" w:type="dxa"/>
            <w:vAlign w:val="bottom"/>
          </w:tcPr>
          <w:p>
            <w:pPr>
              <w:ind w:left="20"/>
              <w:spacing w:after="0"/>
              <w:rPr>
                <w:sz w:val="20"/>
                <w:szCs w:val="20"/>
                <w:color w:val="auto"/>
              </w:rPr>
            </w:pPr>
            <w:r>
              <w:rPr>
                <w:rFonts w:ascii="Arial" w:cs="Arial" w:eastAsia="Arial" w:hAnsi="Arial"/>
                <w:sz w:val="8"/>
                <w:szCs w:val="8"/>
                <w:color w:val="auto"/>
              </w:rPr>
              <w:t>2013</w:t>
            </w:r>
          </w:p>
        </w:tc>
        <w:tc>
          <w:tcPr>
            <w:tcW w:w="1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475,120</w:t>
            </w:r>
          </w:p>
        </w:tc>
        <w:tc>
          <w:tcPr>
            <w:tcW w:w="2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407,106</w:t>
            </w: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391,523</w:t>
            </w:r>
          </w:p>
        </w:tc>
        <w:tc>
          <w:tcPr>
            <w:tcW w:w="1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386,794</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383,366</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382,231</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380,949</w:t>
            </w:r>
          </w:p>
        </w:tc>
        <w:tc>
          <w:tcPr>
            <w:tcW w:w="2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381,546</w:t>
            </w:r>
          </w:p>
        </w:tc>
        <w:tc>
          <w:tcPr>
            <w:tcW w:w="22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381,064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8"/>
                <w:szCs w:val="8"/>
                <w:color w:val="auto"/>
              </w:rPr>
              <w:t>166</w:t>
            </w:r>
          </w:p>
        </w:tc>
        <w:tc>
          <w:tcPr>
            <w:tcW w:w="1140" w:type="dxa"/>
            <w:vAlign w:val="bottom"/>
            <w:gridSpan w:val="2"/>
          </w:tcPr>
          <w:p>
            <w:pPr>
              <w:jc w:val="right"/>
              <w:ind w:right="5"/>
              <w:spacing w:after="0"/>
              <w:rPr>
                <w:sz w:val="20"/>
                <w:szCs w:val="20"/>
                <w:color w:val="auto"/>
              </w:rPr>
            </w:pPr>
            <w:r>
              <w:rPr>
                <w:rFonts w:ascii="Arial" w:cs="Arial" w:eastAsia="Arial" w:hAnsi="Arial"/>
                <w:sz w:val="8"/>
                <w:szCs w:val="8"/>
                <w:color w:val="auto"/>
              </w:rPr>
              <w:t>22,502</w:t>
            </w:r>
          </w:p>
        </w:tc>
        <w:tc>
          <w:tcPr>
            <w:tcW w:w="0" w:type="dxa"/>
            <w:vAlign w:val="bottom"/>
          </w:tcPr>
          <w:p>
            <w:pPr>
              <w:spacing w:after="0"/>
              <w:rPr>
                <w:sz w:val="1"/>
                <w:szCs w:val="1"/>
                <w:color w:val="auto"/>
              </w:rPr>
            </w:pPr>
          </w:p>
        </w:tc>
      </w:tr>
      <w:tr>
        <w:trPr>
          <w:trHeight w:val="132"/>
        </w:trPr>
        <w:tc>
          <w:tcPr>
            <w:tcW w:w="760" w:type="dxa"/>
            <w:vAlign w:val="bottom"/>
            <w:shd w:val="clear" w:color="auto" w:fill="CCEEFF"/>
          </w:tcPr>
          <w:p>
            <w:pPr>
              <w:ind w:left="20"/>
              <w:spacing w:after="0"/>
              <w:rPr>
                <w:sz w:val="20"/>
                <w:szCs w:val="20"/>
                <w:color w:val="auto"/>
              </w:rPr>
            </w:pPr>
            <w:r>
              <w:rPr>
                <w:rFonts w:ascii="Arial" w:cs="Arial" w:eastAsia="Arial" w:hAnsi="Arial"/>
                <w:sz w:val="8"/>
                <w:szCs w:val="8"/>
                <w:color w:val="auto"/>
              </w:rPr>
              <w:t>2014</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327,857</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287,865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268,980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260,752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258,872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258,172</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259,006</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258,807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155</w:t>
            </w:r>
          </w:p>
        </w:tc>
        <w:tc>
          <w:tcPr>
            <w:tcW w:w="1140" w:type="dxa"/>
            <w:vAlign w:val="bottom"/>
            <w:gridSpan w:val="2"/>
            <w:shd w:val="clear" w:color="auto" w:fill="CCEEFF"/>
          </w:tcPr>
          <w:p>
            <w:pPr>
              <w:jc w:val="right"/>
              <w:ind w:right="5"/>
              <w:spacing w:after="0"/>
              <w:rPr>
                <w:sz w:val="20"/>
                <w:szCs w:val="20"/>
                <w:color w:val="auto"/>
              </w:rPr>
            </w:pPr>
            <w:r>
              <w:rPr>
                <w:rFonts w:ascii="Arial" w:cs="Arial" w:eastAsia="Arial" w:hAnsi="Arial"/>
                <w:sz w:val="8"/>
                <w:szCs w:val="8"/>
                <w:color w:val="auto"/>
              </w:rPr>
              <w:t>17,809</w:t>
            </w:r>
          </w:p>
        </w:tc>
        <w:tc>
          <w:tcPr>
            <w:tcW w:w="0" w:type="dxa"/>
            <w:vAlign w:val="bottom"/>
          </w:tcPr>
          <w:p>
            <w:pPr>
              <w:spacing w:after="0"/>
              <w:rPr>
                <w:sz w:val="1"/>
                <w:szCs w:val="1"/>
                <w:color w:val="auto"/>
              </w:rPr>
            </w:pPr>
          </w:p>
        </w:tc>
      </w:tr>
      <w:tr>
        <w:trPr>
          <w:trHeight w:val="115"/>
        </w:trPr>
        <w:tc>
          <w:tcPr>
            <w:tcW w:w="760" w:type="dxa"/>
            <w:vAlign w:val="bottom"/>
          </w:tcPr>
          <w:p>
            <w:pPr>
              <w:ind w:left="20"/>
              <w:spacing w:after="0"/>
              <w:rPr>
                <w:sz w:val="20"/>
                <w:szCs w:val="20"/>
                <w:color w:val="auto"/>
              </w:rPr>
            </w:pPr>
            <w:r>
              <w:rPr>
                <w:rFonts w:ascii="Arial" w:cs="Arial" w:eastAsia="Arial" w:hAnsi="Arial"/>
                <w:sz w:val="8"/>
                <w:szCs w:val="8"/>
                <w:color w:val="auto"/>
              </w:rPr>
              <w:t>2015</w:t>
            </w:r>
          </w:p>
        </w:tc>
        <w:tc>
          <w:tcPr>
            <w:tcW w:w="1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235,251</w:t>
            </w:r>
          </w:p>
        </w:tc>
        <w:tc>
          <w:tcPr>
            <w:tcW w:w="1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208,149</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186,077</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180,923</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179,650</w:t>
            </w:r>
          </w:p>
        </w:tc>
        <w:tc>
          <w:tcPr>
            <w:tcW w:w="2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179,599</w:t>
            </w:r>
          </w:p>
        </w:tc>
        <w:tc>
          <w:tcPr>
            <w:tcW w:w="22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179,258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8"/>
                <w:szCs w:val="8"/>
                <w:color w:val="auto"/>
              </w:rPr>
              <w:t>268</w:t>
            </w:r>
          </w:p>
        </w:tc>
        <w:tc>
          <w:tcPr>
            <w:tcW w:w="1140" w:type="dxa"/>
            <w:vAlign w:val="bottom"/>
            <w:gridSpan w:val="2"/>
          </w:tcPr>
          <w:p>
            <w:pPr>
              <w:jc w:val="right"/>
              <w:ind w:right="5"/>
              <w:spacing w:after="0"/>
              <w:rPr>
                <w:sz w:val="20"/>
                <w:szCs w:val="20"/>
                <w:color w:val="auto"/>
              </w:rPr>
            </w:pPr>
            <w:r>
              <w:rPr>
                <w:rFonts w:ascii="Arial" w:cs="Arial" w:eastAsia="Arial" w:hAnsi="Arial"/>
                <w:sz w:val="8"/>
                <w:szCs w:val="8"/>
                <w:color w:val="auto"/>
              </w:rPr>
              <w:t>15,400</w:t>
            </w:r>
          </w:p>
        </w:tc>
        <w:tc>
          <w:tcPr>
            <w:tcW w:w="0" w:type="dxa"/>
            <w:vAlign w:val="bottom"/>
          </w:tcPr>
          <w:p>
            <w:pPr>
              <w:spacing w:after="0"/>
              <w:rPr>
                <w:sz w:val="1"/>
                <w:szCs w:val="1"/>
                <w:color w:val="auto"/>
              </w:rPr>
            </w:pPr>
          </w:p>
        </w:tc>
      </w:tr>
      <w:tr>
        <w:trPr>
          <w:trHeight w:val="132"/>
        </w:trPr>
        <w:tc>
          <w:tcPr>
            <w:tcW w:w="760" w:type="dxa"/>
            <w:vAlign w:val="bottom"/>
            <w:shd w:val="clear" w:color="auto" w:fill="CCEEFF"/>
          </w:tcPr>
          <w:p>
            <w:pPr>
              <w:ind w:left="20"/>
              <w:spacing w:after="0"/>
              <w:rPr>
                <w:sz w:val="20"/>
                <w:szCs w:val="20"/>
                <w:color w:val="auto"/>
              </w:rPr>
            </w:pPr>
            <w:r>
              <w:rPr>
                <w:rFonts w:ascii="Arial" w:cs="Arial" w:eastAsia="Arial" w:hAnsi="Arial"/>
                <w:sz w:val="8"/>
                <w:szCs w:val="8"/>
                <w:color w:val="auto"/>
              </w:rPr>
              <w:t>2016</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198,121</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161,041</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138,784</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136,381</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136,754</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136,258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288</w:t>
            </w:r>
          </w:p>
        </w:tc>
        <w:tc>
          <w:tcPr>
            <w:tcW w:w="1140" w:type="dxa"/>
            <w:vAlign w:val="bottom"/>
            <w:gridSpan w:val="2"/>
            <w:shd w:val="clear" w:color="auto" w:fill="CCEEFF"/>
          </w:tcPr>
          <w:p>
            <w:pPr>
              <w:jc w:val="right"/>
              <w:ind w:right="5"/>
              <w:spacing w:after="0"/>
              <w:rPr>
                <w:sz w:val="20"/>
                <w:szCs w:val="20"/>
                <w:color w:val="auto"/>
              </w:rPr>
            </w:pPr>
            <w:r>
              <w:rPr>
                <w:rFonts w:ascii="Arial" w:cs="Arial" w:eastAsia="Arial" w:hAnsi="Arial"/>
                <w:sz w:val="8"/>
                <w:szCs w:val="8"/>
                <w:color w:val="auto"/>
              </w:rPr>
              <w:t>13,970</w:t>
            </w:r>
          </w:p>
        </w:tc>
        <w:tc>
          <w:tcPr>
            <w:tcW w:w="0" w:type="dxa"/>
            <w:vAlign w:val="bottom"/>
          </w:tcPr>
          <w:p>
            <w:pPr>
              <w:spacing w:after="0"/>
              <w:rPr>
                <w:sz w:val="1"/>
                <w:szCs w:val="1"/>
                <w:color w:val="auto"/>
              </w:rPr>
            </w:pPr>
          </w:p>
        </w:tc>
      </w:tr>
      <w:tr>
        <w:trPr>
          <w:trHeight w:val="115"/>
        </w:trPr>
        <w:tc>
          <w:tcPr>
            <w:tcW w:w="760" w:type="dxa"/>
            <w:vAlign w:val="bottom"/>
          </w:tcPr>
          <w:p>
            <w:pPr>
              <w:ind w:left="20"/>
              <w:spacing w:after="0"/>
              <w:rPr>
                <w:sz w:val="20"/>
                <w:szCs w:val="20"/>
                <w:color w:val="auto"/>
              </w:rPr>
            </w:pPr>
            <w:r>
              <w:rPr>
                <w:rFonts w:ascii="Arial" w:cs="Arial" w:eastAsia="Arial" w:hAnsi="Arial"/>
                <w:sz w:val="8"/>
                <w:szCs w:val="8"/>
                <w:color w:val="auto"/>
              </w:rPr>
              <w:t>2017</w:t>
            </w:r>
          </w:p>
        </w:tc>
        <w:tc>
          <w:tcPr>
            <w:tcW w:w="1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170,713</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120,568</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101,755</w:t>
            </w:r>
          </w:p>
        </w:tc>
        <w:tc>
          <w:tcPr>
            <w:tcW w:w="2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105,079</w:t>
            </w:r>
          </w:p>
        </w:tc>
        <w:tc>
          <w:tcPr>
            <w:tcW w:w="22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103,565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8"/>
                <w:szCs w:val="8"/>
                <w:color w:val="auto"/>
              </w:rPr>
              <w:t>404</w:t>
            </w:r>
          </w:p>
        </w:tc>
        <w:tc>
          <w:tcPr>
            <w:tcW w:w="1140" w:type="dxa"/>
            <w:vAlign w:val="bottom"/>
            <w:gridSpan w:val="2"/>
          </w:tcPr>
          <w:p>
            <w:pPr>
              <w:jc w:val="right"/>
              <w:ind w:right="5"/>
              <w:spacing w:after="0"/>
              <w:rPr>
                <w:sz w:val="20"/>
                <w:szCs w:val="20"/>
                <w:color w:val="auto"/>
              </w:rPr>
            </w:pPr>
            <w:r>
              <w:rPr>
                <w:rFonts w:ascii="Arial" w:cs="Arial" w:eastAsia="Arial" w:hAnsi="Arial"/>
                <w:sz w:val="8"/>
                <w:szCs w:val="8"/>
                <w:color w:val="auto"/>
              </w:rPr>
              <w:t>15,097</w:t>
            </w:r>
          </w:p>
        </w:tc>
        <w:tc>
          <w:tcPr>
            <w:tcW w:w="0" w:type="dxa"/>
            <w:vAlign w:val="bottom"/>
          </w:tcPr>
          <w:p>
            <w:pPr>
              <w:spacing w:after="0"/>
              <w:rPr>
                <w:sz w:val="1"/>
                <w:szCs w:val="1"/>
                <w:color w:val="auto"/>
              </w:rPr>
            </w:pPr>
          </w:p>
        </w:tc>
      </w:tr>
      <w:tr>
        <w:trPr>
          <w:trHeight w:val="132"/>
        </w:trPr>
        <w:tc>
          <w:tcPr>
            <w:tcW w:w="760" w:type="dxa"/>
            <w:vAlign w:val="bottom"/>
            <w:shd w:val="clear" w:color="auto" w:fill="CCEEFF"/>
          </w:tcPr>
          <w:p>
            <w:pPr>
              <w:ind w:left="20"/>
              <w:spacing w:after="0"/>
              <w:rPr>
                <w:sz w:val="20"/>
                <w:szCs w:val="20"/>
                <w:color w:val="auto"/>
              </w:rPr>
            </w:pPr>
            <w:r>
              <w:rPr>
                <w:rFonts w:ascii="Arial" w:cs="Arial" w:eastAsia="Arial" w:hAnsi="Arial"/>
                <w:sz w:val="8"/>
                <w:szCs w:val="8"/>
                <w:color w:val="auto"/>
              </w:rPr>
              <w:t>2018</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116,842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83,959</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84,138</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78,367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556</w:t>
            </w:r>
          </w:p>
        </w:tc>
        <w:tc>
          <w:tcPr>
            <w:tcW w:w="1140" w:type="dxa"/>
            <w:vAlign w:val="bottom"/>
            <w:gridSpan w:val="2"/>
            <w:shd w:val="clear" w:color="auto" w:fill="CCEEFF"/>
          </w:tcPr>
          <w:p>
            <w:pPr>
              <w:jc w:val="right"/>
              <w:ind w:right="5"/>
              <w:spacing w:after="0"/>
              <w:rPr>
                <w:sz w:val="20"/>
                <w:szCs w:val="20"/>
                <w:color w:val="auto"/>
              </w:rPr>
            </w:pPr>
            <w:r>
              <w:rPr>
                <w:rFonts w:ascii="Arial" w:cs="Arial" w:eastAsia="Arial" w:hAnsi="Arial"/>
                <w:sz w:val="8"/>
                <w:szCs w:val="8"/>
                <w:color w:val="auto"/>
              </w:rPr>
              <w:t>11,269</w:t>
            </w:r>
          </w:p>
        </w:tc>
        <w:tc>
          <w:tcPr>
            <w:tcW w:w="0" w:type="dxa"/>
            <w:vAlign w:val="bottom"/>
          </w:tcPr>
          <w:p>
            <w:pPr>
              <w:spacing w:after="0"/>
              <w:rPr>
                <w:sz w:val="1"/>
                <w:szCs w:val="1"/>
                <w:color w:val="auto"/>
              </w:rPr>
            </w:pPr>
          </w:p>
        </w:tc>
      </w:tr>
      <w:tr>
        <w:trPr>
          <w:trHeight w:val="115"/>
        </w:trPr>
        <w:tc>
          <w:tcPr>
            <w:tcW w:w="760" w:type="dxa"/>
            <w:vAlign w:val="bottom"/>
          </w:tcPr>
          <w:p>
            <w:pPr>
              <w:ind w:left="20"/>
              <w:spacing w:after="0"/>
              <w:rPr>
                <w:sz w:val="20"/>
                <w:szCs w:val="20"/>
                <w:color w:val="auto"/>
              </w:rPr>
            </w:pPr>
            <w:r>
              <w:rPr>
                <w:rFonts w:ascii="Arial" w:cs="Arial" w:eastAsia="Arial" w:hAnsi="Arial"/>
                <w:sz w:val="8"/>
                <w:szCs w:val="8"/>
                <w:color w:val="auto"/>
              </w:rPr>
              <w:t>2019</w:t>
            </w:r>
          </w:p>
        </w:tc>
        <w:tc>
          <w:tcPr>
            <w:tcW w:w="1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105,734</w:t>
            </w:r>
          </w:p>
        </w:tc>
        <w:tc>
          <w:tcPr>
            <w:tcW w:w="2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111,089</w:t>
            </w:r>
          </w:p>
        </w:tc>
        <w:tc>
          <w:tcPr>
            <w:tcW w:w="22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97,490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8"/>
                <w:szCs w:val="8"/>
                <w:color w:val="auto"/>
              </w:rPr>
              <w:t>855</w:t>
            </w:r>
          </w:p>
        </w:tc>
        <w:tc>
          <w:tcPr>
            <w:tcW w:w="1140" w:type="dxa"/>
            <w:vAlign w:val="bottom"/>
            <w:gridSpan w:val="2"/>
          </w:tcPr>
          <w:p>
            <w:pPr>
              <w:jc w:val="right"/>
              <w:ind w:right="5"/>
              <w:spacing w:after="0"/>
              <w:rPr>
                <w:sz w:val="20"/>
                <w:szCs w:val="20"/>
                <w:color w:val="auto"/>
              </w:rPr>
            </w:pPr>
            <w:r>
              <w:rPr>
                <w:rFonts w:ascii="Arial" w:cs="Arial" w:eastAsia="Arial" w:hAnsi="Arial"/>
                <w:sz w:val="8"/>
                <w:szCs w:val="8"/>
                <w:color w:val="auto"/>
              </w:rPr>
              <w:t>11,883</w:t>
            </w:r>
          </w:p>
        </w:tc>
        <w:tc>
          <w:tcPr>
            <w:tcW w:w="0" w:type="dxa"/>
            <w:vAlign w:val="bottom"/>
          </w:tcPr>
          <w:p>
            <w:pPr>
              <w:spacing w:after="0"/>
              <w:rPr>
                <w:sz w:val="1"/>
                <w:szCs w:val="1"/>
                <w:color w:val="auto"/>
              </w:rPr>
            </w:pPr>
          </w:p>
        </w:tc>
      </w:tr>
      <w:tr>
        <w:trPr>
          <w:trHeight w:val="132"/>
        </w:trPr>
        <w:tc>
          <w:tcPr>
            <w:tcW w:w="760" w:type="dxa"/>
            <w:vAlign w:val="bottom"/>
            <w:shd w:val="clear" w:color="auto" w:fill="CCEEFF"/>
          </w:tcPr>
          <w:p>
            <w:pPr>
              <w:ind w:left="20"/>
              <w:spacing w:after="0"/>
              <w:rPr>
                <w:sz w:val="20"/>
                <w:szCs w:val="20"/>
                <w:color w:val="auto"/>
              </w:rPr>
            </w:pPr>
            <w:r>
              <w:rPr>
                <w:rFonts w:ascii="Arial" w:cs="Arial" w:eastAsia="Arial" w:hAnsi="Arial"/>
                <w:sz w:val="8"/>
                <w:szCs w:val="8"/>
                <w:color w:val="auto"/>
              </w:rPr>
              <w:t>2020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364,547</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362,347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732</w:t>
            </w:r>
          </w:p>
        </w:tc>
        <w:tc>
          <w:tcPr>
            <w:tcW w:w="1140" w:type="dxa"/>
            <w:vAlign w:val="bottom"/>
            <w:gridSpan w:val="2"/>
            <w:shd w:val="clear" w:color="auto" w:fill="CCEEFF"/>
          </w:tcPr>
          <w:p>
            <w:pPr>
              <w:jc w:val="right"/>
              <w:ind w:right="5"/>
              <w:spacing w:after="0"/>
              <w:rPr>
                <w:sz w:val="20"/>
                <w:szCs w:val="20"/>
                <w:color w:val="auto"/>
              </w:rPr>
            </w:pPr>
            <w:r>
              <w:rPr>
                <w:rFonts w:ascii="Arial" w:cs="Arial" w:eastAsia="Arial" w:hAnsi="Arial"/>
                <w:sz w:val="8"/>
                <w:szCs w:val="8"/>
                <w:color w:val="auto"/>
              </w:rPr>
              <w:t>38,863</w:t>
            </w:r>
          </w:p>
        </w:tc>
        <w:tc>
          <w:tcPr>
            <w:tcW w:w="0" w:type="dxa"/>
            <w:vAlign w:val="bottom"/>
          </w:tcPr>
          <w:p>
            <w:pPr>
              <w:spacing w:after="0"/>
              <w:rPr>
                <w:sz w:val="1"/>
                <w:szCs w:val="1"/>
                <w:color w:val="auto"/>
              </w:rPr>
            </w:pPr>
          </w:p>
        </w:tc>
      </w:tr>
      <w:tr>
        <w:trPr>
          <w:trHeight w:val="115"/>
        </w:trPr>
        <w:tc>
          <w:tcPr>
            <w:tcW w:w="7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2021</w:t>
            </w:r>
          </w:p>
        </w:tc>
        <w:tc>
          <w:tcPr>
            <w:tcW w:w="18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8"/>
                <w:szCs w:val="8"/>
                <w:color w:val="auto"/>
              </w:rPr>
              <w:t>—  $</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141,225</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15,005</w:t>
            </w:r>
          </w:p>
        </w:tc>
        <w:tc>
          <w:tcPr>
            <w:tcW w:w="1140" w:type="dxa"/>
            <w:vAlign w:val="bottom"/>
            <w:tcBorders>
              <w:bottom w:val="single" w:sz="8" w:color="CCEEFF"/>
            </w:tcBorders>
            <w:gridSpan w:val="2"/>
          </w:tcPr>
          <w:p>
            <w:pPr>
              <w:jc w:val="right"/>
              <w:ind w:right="5"/>
              <w:spacing w:after="0"/>
              <w:rPr>
                <w:sz w:val="20"/>
                <w:szCs w:val="20"/>
                <w:color w:val="auto"/>
              </w:rPr>
            </w:pPr>
            <w:r>
              <w:rPr>
                <w:rFonts w:ascii="Arial" w:cs="Arial" w:eastAsia="Arial" w:hAnsi="Arial"/>
                <w:sz w:val="8"/>
                <w:szCs w:val="8"/>
                <w:color w:val="auto"/>
              </w:rPr>
              <w:t>12,585</w:t>
            </w:r>
          </w:p>
        </w:tc>
        <w:tc>
          <w:tcPr>
            <w:tcW w:w="0" w:type="dxa"/>
            <w:vAlign w:val="bottom"/>
          </w:tcPr>
          <w:p>
            <w:pPr>
              <w:spacing w:after="0"/>
              <w:rPr>
                <w:sz w:val="1"/>
                <w:szCs w:val="1"/>
                <w:color w:val="auto"/>
              </w:rPr>
            </w:pPr>
          </w:p>
        </w:tc>
      </w:tr>
      <w:tr>
        <w:trPr>
          <w:trHeight w:val="147"/>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Total incurred</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2,404,981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18,576</w:t>
            </w: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193" w:lineRule="auto"/>
        <w:tabs>
          <w:tab w:leader="none" w:pos="240" w:val="left"/>
        </w:tabs>
        <w:numPr>
          <w:ilvl w:val="0"/>
          <w:numId w:val="69"/>
        </w:numPr>
        <w:rPr>
          <w:rFonts w:ascii="Arial" w:cs="Arial" w:eastAsia="Arial" w:hAnsi="Arial"/>
          <w:sz w:val="14"/>
          <w:szCs w:val="14"/>
          <w:color w:val="auto"/>
          <w:vertAlign w:val="superscript"/>
        </w:rPr>
      </w:pPr>
      <w:r>
        <w:rPr>
          <w:rFonts w:ascii="Arial" w:cs="Arial" w:eastAsia="Arial" w:hAnsi="Arial"/>
          <w:sz w:val="11"/>
          <w:szCs w:val="11"/>
          <w:color w:val="auto"/>
        </w:rPr>
        <w:t>Represents the year in which first monthly mortgage payments have been missed by the borrower.</w:t>
      </w:r>
    </w:p>
    <w:p>
      <w:pPr>
        <w:ind w:left="240" w:hanging="238"/>
        <w:spacing w:after="0" w:line="183" w:lineRule="auto"/>
        <w:tabs>
          <w:tab w:leader="none" w:pos="240" w:val="left"/>
        </w:tabs>
        <w:numPr>
          <w:ilvl w:val="0"/>
          <w:numId w:val="69"/>
        </w:numPr>
        <w:rPr>
          <w:rFonts w:ascii="Arial" w:cs="Arial" w:eastAsia="Arial" w:hAnsi="Arial"/>
          <w:sz w:val="14"/>
          <w:szCs w:val="14"/>
          <w:color w:val="auto"/>
          <w:vertAlign w:val="superscript"/>
        </w:rPr>
      </w:pPr>
      <w:r>
        <w:rPr>
          <w:rFonts w:ascii="Arial" w:cs="Arial" w:eastAsia="Arial" w:hAnsi="Arial"/>
          <w:sz w:val="11"/>
          <w:szCs w:val="11"/>
          <w:color w:val="auto"/>
        </w:rPr>
        <w:t>Excludes incurred claims and allocated LAE related to run-off business.</w:t>
      </w:r>
    </w:p>
    <w:p>
      <w:pPr>
        <w:ind w:left="240" w:hanging="238"/>
        <w:spacing w:after="0" w:line="195" w:lineRule="auto"/>
        <w:tabs>
          <w:tab w:leader="none" w:pos="240" w:val="left"/>
        </w:tabs>
        <w:numPr>
          <w:ilvl w:val="0"/>
          <w:numId w:val="69"/>
        </w:numPr>
        <w:rPr>
          <w:rFonts w:ascii="Arial" w:cs="Arial" w:eastAsia="Arial" w:hAnsi="Arial"/>
          <w:sz w:val="14"/>
          <w:szCs w:val="14"/>
          <w:color w:val="auto"/>
          <w:vertAlign w:val="superscript"/>
        </w:rPr>
      </w:pPr>
      <w:r>
        <w:rPr>
          <w:rFonts w:ascii="Arial" w:cs="Arial" w:eastAsia="Arial" w:hAnsi="Arial"/>
          <w:sz w:val="11"/>
          <w:szCs w:val="11"/>
          <w:color w:val="auto"/>
        </w:rPr>
        <w:t>Represents reported and outstanding delinquencies less actual cures as of December 31 for each respective accident year.</w:t>
      </w:r>
    </w:p>
    <w:p>
      <w:pPr>
        <w:spacing w:after="0" w:line="111"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following table sets forth paid claims development, net of reinsurance, for the year ended December 31, 2021, and a reconciliation to our total loss reserves as of December 31, 2021. The information about paid claims development for the years ended December 31, 2012 to 2020, is presented as supplementary information.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920" w:type="dxa"/>
            <w:vAlign w:val="bottom"/>
            <w:gridSpan w:val="2"/>
          </w:tcPr>
          <w:p>
            <w:pPr>
              <w:ind w:left="20"/>
              <w:spacing w:after="0"/>
              <w:rPr>
                <w:sz w:val="20"/>
                <w:szCs w:val="20"/>
                <w:color w:val="auto"/>
              </w:rPr>
            </w:pPr>
            <w:r>
              <w:rPr>
                <w:rFonts w:ascii="Arial" w:cs="Arial" w:eastAsia="Arial" w:hAnsi="Arial"/>
                <w:sz w:val="8"/>
                <w:szCs w:val="8"/>
                <w:b w:val="1"/>
                <w:bCs w:val="1"/>
                <w:color w:val="auto"/>
              </w:rPr>
              <w:t>(Amounts in</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0" w:type="dxa"/>
            <w:vAlign w:val="bottom"/>
            <w:gridSpan w:val="7"/>
            <w:vMerge w:val="restart"/>
          </w:tcPr>
          <w:p>
            <w:pPr>
              <w:jc w:val="right"/>
              <w:ind w:right="119"/>
              <w:spacing w:after="0"/>
              <w:rPr>
                <w:sz w:val="20"/>
                <w:szCs w:val="20"/>
                <w:color w:val="auto"/>
              </w:rPr>
            </w:pPr>
            <w:r>
              <w:rPr>
                <w:rFonts w:ascii="Arial" w:cs="Arial" w:eastAsia="Arial" w:hAnsi="Arial"/>
                <w:sz w:val="8"/>
                <w:szCs w:val="8"/>
                <w:b w:val="1"/>
                <w:bCs w:val="1"/>
                <w:color w:val="auto"/>
              </w:rPr>
              <w:t xml:space="preserve">Cumulative paid claims and allocated claim adjustment expenses, net of reinsurance </w:t>
            </w:r>
            <w:r>
              <w:rPr>
                <w:rFonts w:ascii="Arial" w:cs="Arial" w:eastAsia="Arial" w:hAnsi="Arial"/>
                <w:sz w:val="10"/>
                <w:szCs w:val="10"/>
                <w:b w:val="1"/>
                <w:bCs w:val="1"/>
                <w:color w:val="auto"/>
                <w:vertAlign w:val="superscript"/>
              </w:rPr>
              <w:t>(2)</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920" w:type="dxa"/>
            <w:vAlign w:val="bottom"/>
            <w:gridSpan w:val="2"/>
          </w:tcPr>
          <w:p>
            <w:pPr>
              <w:ind w:left="20"/>
              <w:spacing w:after="0"/>
              <w:rPr>
                <w:sz w:val="20"/>
                <w:szCs w:val="20"/>
                <w:color w:val="auto"/>
              </w:rPr>
            </w:pPr>
            <w:r>
              <w:rPr>
                <w:rFonts w:ascii="Arial" w:cs="Arial" w:eastAsia="Arial" w:hAnsi="Arial"/>
                <w:sz w:val="8"/>
                <w:szCs w:val="8"/>
                <w:b w:val="1"/>
                <w:bCs w:val="1"/>
                <w:color w:val="auto"/>
              </w:rPr>
              <w:t>thousands)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680" w:type="dxa"/>
            <w:vAlign w:val="bottom"/>
            <w:tcBorders>
              <w:top w:val="single" w:sz="8" w:color="auto"/>
              <w:bottom w:val="single" w:sz="8" w:color="auto"/>
            </w:tcBorders>
            <w:gridSpan w:val="3"/>
          </w:tcPr>
          <w:p>
            <w:pPr>
              <w:jc w:val="right"/>
              <w:ind w:right="219"/>
              <w:spacing w:after="0"/>
              <w:rPr>
                <w:sz w:val="20"/>
                <w:szCs w:val="20"/>
                <w:color w:val="auto"/>
              </w:rPr>
            </w:pPr>
            <w:r>
              <w:rPr>
                <w:rFonts w:ascii="Arial" w:cs="Arial" w:eastAsia="Arial" w:hAnsi="Arial"/>
                <w:sz w:val="8"/>
                <w:szCs w:val="8"/>
                <w:b w:val="1"/>
                <w:bCs w:val="1"/>
                <w:color w:val="auto"/>
              </w:rPr>
              <w:t>For the years ended December 31,</w:t>
            </w:r>
          </w:p>
        </w:tc>
        <w:tc>
          <w:tcPr>
            <w:tcW w:w="2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20" w:type="dxa"/>
            <w:vAlign w:val="bottom"/>
            <w:gridSpan w:val="2"/>
          </w:tcPr>
          <w:p>
            <w:pPr>
              <w:ind w:left="20"/>
              <w:spacing w:after="0"/>
              <w:rPr>
                <w:sz w:val="20"/>
                <w:szCs w:val="20"/>
                <w:color w:val="auto"/>
              </w:rPr>
            </w:pPr>
            <w:r>
              <w:rPr>
                <w:rFonts w:ascii="Arial" w:cs="Arial" w:eastAsia="Arial" w:hAnsi="Arial"/>
                <w:sz w:val="8"/>
                <w:szCs w:val="8"/>
                <w:b w:val="1"/>
                <w:bCs w:val="1"/>
                <w:color w:val="auto"/>
              </w:rPr>
              <w:t xml:space="preserve">Accident year </w:t>
            </w:r>
            <w:r>
              <w:rPr>
                <w:rFonts w:ascii="Arial" w:cs="Arial" w:eastAsia="Arial" w:hAnsi="Arial"/>
                <w:sz w:val="10"/>
                <w:szCs w:val="10"/>
                <w:b w:val="1"/>
                <w:bCs w:val="1"/>
                <w:color w:val="auto"/>
                <w:vertAlign w:val="superscript"/>
              </w:rPr>
              <w:t>(1)</w:t>
            </w:r>
          </w:p>
        </w:tc>
        <w:tc>
          <w:tcPr>
            <w:tcW w:w="220" w:type="dxa"/>
            <w:vAlign w:val="bottom"/>
          </w:tcPr>
          <w:p>
            <w:pPr>
              <w:spacing w:after="0"/>
              <w:rPr>
                <w:sz w:val="12"/>
                <w:szCs w:val="12"/>
                <w:color w:val="auto"/>
              </w:rPr>
            </w:pPr>
          </w:p>
        </w:tc>
        <w:tc>
          <w:tcPr>
            <w:tcW w:w="660" w:type="dxa"/>
            <w:vAlign w:val="bottom"/>
          </w:tcPr>
          <w:p>
            <w:pPr>
              <w:jc w:val="right"/>
              <w:ind w:right="319"/>
              <w:spacing w:after="0"/>
              <w:rPr>
                <w:sz w:val="20"/>
                <w:szCs w:val="20"/>
                <w:color w:val="auto"/>
              </w:rPr>
            </w:pPr>
            <w:r>
              <w:rPr>
                <w:rFonts w:ascii="Arial" w:cs="Arial" w:eastAsia="Arial" w:hAnsi="Arial"/>
                <w:sz w:val="8"/>
                <w:szCs w:val="8"/>
                <w:b w:val="1"/>
                <w:bCs w:val="1"/>
                <w:color w:val="auto"/>
              </w:rPr>
              <w:t>2012</w:t>
            </w:r>
          </w:p>
        </w:tc>
        <w:tc>
          <w:tcPr>
            <w:tcW w:w="260" w:type="dxa"/>
            <w:vAlign w:val="bottom"/>
          </w:tcPr>
          <w:p>
            <w:pPr>
              <w:spacing w:after="0"/>
              <w:rPr>
                <w:sz w:val="12"/>
                <w:szCs w:val="12"/>
                <w:color w:val="auto"/>
              </w:rPr>
            </w:pPr>
          </w:p>
        </w:tc>
        <w:tc>
          <w:tcPr>
            <w:tcW w:w="680" w:type="dxa"/>
            <w:vAlign w:val="bottom"/>
          </w:tcPr>
          <w:p>
            <w:pPr>
              <w:jc w:val="right"/>
              <w:ind w:right="319"/>
              <w:spacing w:after="0"/>
              <w:rPr>
                <w:sz w:val="20"/>
                <w:szCs w:val="20"/>
                <w:color w:val="auto"/>
              </w:rPr>
            </w:pPr>
            <w:r>
              <w:rPr>
                <w:rFonts w:ascii="Arial" w:cs="Arial" w:eastAsia="Arial" w:hAnsi="Arial"/>
                <w:sz w:val="8"/>
                <w:szCs w:val="8"/>
                <w:b w:val="1"/>
                <w:bCs w:val="1"/>
                <w:color w:val="auto"/>
              </w:rPr>
              <w:t>2013</w:t>
            </w:r>
          </w:p>
        </w:tc>
        <w:tc>
          <w:tcPr>
            <w:tcW w:w="260" w:type="dxa"/>
            <w:vAlign w:val="bottom"/>
          </w:tcPr>
          <w:p>
            <w:pPr>
              <w:spacing w:after="0"/>
              <w:rPr>
                <w:sz w:val="12"/>
                <w:szCs w:val="12"/>
                <w:color w:val="auto"/>
              </w:rPr>
            </w:pPr>
          </w:p>
        </w:tc>
        <w:tc>
          <w:tcPr>
            <w:tcW w:w="680" w:type="dxa"/>
            <w:vAlign w:val="bottom"/>
          </w:tcPr>
          <w:p>
            <w:pPr>
              <w:jc w:val="right"/>
              <w:ind w:right="319"/>
              <w:spacing w:after="0"/>
              <w:rPr>
                <w:sz w:val="20"/>
                <w:szCs w:val="20"/>
                <w:color w:val="auto"/>
              </w:rPr>
            </w:pPr>
            <w:r>
              <w:rPr>
                <w:rFonts w:ascii="Arial" w:cs="Arial" w:eastAsia="Arial" w:hAnsi="Arial"/>
                <w:sz w:val="8"/>
                <w:szCs w:val="8"/>
                <w:b w:val="1"/>
                <w:bCs w:val="1"/>
                <w:color w:val="auto"/>
              </w:rPr>
              <w:t>2014</w:t>
            </w:r>
          </w:p>
        </w:tc>
        <w:tc>
          <w:tcPr>
            <w:tcW w:w="180" w:type="dxa"/>
            <w:vAlign w:val="bottom"/>
          </w:tcPr>
          <w:p>
            <w:pPr>
              <w:spacing w:after="0"/>
              <w:rPr>
                <w:sz w:val="12"/>
                <w:szCs w:val="12"/>
                <w:color w:val="auto"/>
              </w:rPr>
            </w:pPr>
          </w:p>
        </w:tc>
        <w:tc>
          <w:tcPr>
            <w:tcW w:w="760" w:type="dxa"/>
            <w:vAlign w:val="bottom"/>
          </w:tcPr>
          <w:p>
            <w:pPr>
              <w:jc w:val="right"/>
              <w:ind w:right="319"/>
              <w:spacing w:after="0"/>
              <w:rPr>
                <w:sz w:val="20"/>
                <w:szCs w:val="20"/>
                <w:color w:val="auto"/>
              </w:rPr>
            </w:pPr>
            <w:r>
              <w:rPr>
                <w:rFonts w:ascii="Arial" w:cs="Arial" w:eastAsia="Arial" w:hAnsi="Arial"/>
                <w:sz w:val="8"/>
                <w:szCs w:val="8"/>
                <w:b w:val="1"/>
                <w:bCs w:val="1"/>
                <w:color w:val="auto"/>
              </w:rPr>
              <w:t>2015</w:t>
            </w:r>
          </w:p>
        </w:tc>
        <w:tc>
          <w:tcPr>
            <w:tcW w:w="220" w:type="dxa"/>
            <w:vAlign w:val="bottom"/>
          </w:tcPr>
          <w:p>
            <w:pPr>
              <w:spacing w:after="0"/>
              <w:rPr>
                <w:sz w:val="12"/>
                <w:szCs w:val="12"/>
                <w:color w:val="auto"/>
              </w:rPr>
            </w:pPr>
          </w:p>
        </w:tc>
        <w:tc>
          <w:tcPr>
            <w:tcW w:w="740" w:type="dxa"/>
            <w:vAlign w:val="bottom"/>
          </w:tcPr>
          <w:p>
            <w:pPr>
              <w:jc w:val="right"/>
              <w:ind w:right="339"/>
              <w:spacing w:after="0"/>
              <w:rPr>
                <w:sz w:val="20"/>
                <w:szCs w:val="20"/>
                <w:color w:val="auto"/>
              </w:rPr>
            </w:pPr>
            <w:r>
              <w:rPr>
                <w:rFonts w:ascii="Arial" w:cs="Arial" w:eastAsia="Arial" w:hAnsi="Arial"/>
                <w:sz w:val="8"/>
                <w:szCs w:val="8"/>
                <w:b w:val="1"/>
                <w:bCs w:val="1"/>
                <w:color w:val="auto"/>
              </w:rPr>
              <w:t>2016</w:t>
            </w:r>
          </w:p>
        </w:tc>
        <w:tc>
          <w:tcPr>
            <w:tcW w:w="240" w:type="dxa"/>
            <w:vAlign w:val="bottom"/>
          </w:tcPr>
          <w:p>
            <w:pPr>
              <w:spacing w:after="0"/>
              <w:rPr>
                <w:sz w:val="12"/>
                <w:szCs w:val="12"/>
                <w:color w:val="auto"/>
              </w:rPr>
            </w:pPr>
          </w:p>
        </w:tc>
        <w:tc>
          <w:tcPr>
            <w:tcW w:w="700" w:type="dxa"/>
            <w:vAlign w:val="bottom"/>
          </w:tcPr>
          <w:p>
            <w:pPr>
              <w:jc w:val="right"/>
              <w:ind w:right="319"/>
              <w:spacing w:after="0"/>
              <w:rPr>
                <w:sz w:val="20"/>
                <w:szCs w:val="20"/>
                <w:color w:val="auto"/>
              </w:rPr>
            </w:pPr>
            <w:r>
              <w:rPr>
                <w:rFonts w:ascii="Arial" w:cs="Arial" w:eastAsia="Arial" w:hAnsi="Arial"/>
                <w:sz w:val="8"/>
                <w:szCs w:val="8"/>
                <w:b w:val="1"/>
                <w:bCs w:val="1"/>
                <w:color w:val="auto"/>
              </w:rPr>
              <w:t>2017</w:t>
            </w:r>
          </w:p>
        </w:tc>
        <w:tc>
          <w:tcPr>
            <w:tcW w:w="260" w:type="dxa"/>
            <w:vAlign w:val="bottom"/>
          </w:tcPr>
          <w:p>
            <w:pPr>
              <w:spacing w:after="0"/>
              <w:rPr>
                <w:sz w:val="12"/>
                <w:szCs w:val="12"/>
                <w:color w:val="auto"/>
              </w:rPr>
            </w:pPr>
          </w:p>
        </w:tc>
        <w:tc>
          <w:tcPr>
            <w:tcW w:w="680" w:type="dxa"/>
            <w:vAlign w:val="bottom"/>
          </w:tcPr>
          <w:p>
            <w:pPr>
              <w:jc w:val="right"/>
              <w:ind w:right="319"/>
              <w:spacing w:after="0"/>
              <w:rPr>
                <w:sz w:val="20"/>
                <w:szCs w:val="20"/>
                <w:color w:val="auto"/>
              </w:rPr>
            </w:pPr>
            <w:r>
              <w:rPr>
                <w:rFonts w:ascii="Arial" w:cs="Arial" w:eastAsia="Arial" w:hAnsi="Arial"/>
                <w:sz w:val="8"/>
                <w:szCs w:val="8"/>
                <w:b w:val="1"/>
                <w:bCs w:val="1"/>
                <w:color w:val="auto"/>
              </w:rPr>
              <w:t>2018</w:t>
            </w:r>
          </w:p>
        </w:tc>
        <w:tc>
          <w:tcPr>
            <w:tcW w:w="260" w:type="dxa"/>
            <w:vAlign w:val="bottom"/>
          </w:tcPr>
          <w:p>
            <w:pPr>
              <w:spacing w:after="0"/>
              <w:rPr>
                <w:sz w:val="12"/>
                <w:szCs w:val="12"/>
                <w:color w:val="auto"/>
              </w:rPr>
            </w:pPr>
          </w:p>
        </w:tc>
        <w:tc>
          <w:tcPr>
            <w:tcW w:w="680" w:type="dxa"/>
            <w:vAlign w:val="bottom"/>
          </w:tcPr>
          <w:p>
            <w:pPr>
              <w:jc w:val="right"/>
              <w:ind w:right="319"/>
              <w:spacing w:after="0"/>
              <w:rPr>
                <w:sz w:val="20"/>
                <w:szCs w:val="20"/>
                <w:color w:val="auto"/>
              </w:rPr>
            </w:pPr>
            <w:r>
              <w:rPr>
                <w:rFonts w:ascii="Arial" w:cs="Arial" w:eastAsia="Arial" w:hAnsi="Arial"/>
                <w:sz w:val="8"/>
                <w:szCs w:val="8"/>
                <w:b w:val="1"/>
                <w:bCs w:val="1"/>
                <w:color w:val="auto"/>
              </w:rPr>
              <w:t>2019</w:t>
            </w:r>
          </w:p>
        </w:tc>
        <w:tc>
          <w:tcPr>
            <w:tcW w:w="260" w:type="dxa"/>
            <w:vAlign w:val="bottom"/>
          </w:tcPr>
          <w:p>
            <w:pPr>
              <w:spacing w:after="0"/>
              <w:rPr>
                <w:sz w:val="12"/>
                <w:szCs w:val="12"/>
                <w:color w:val="auto"/>
              </w:rPr>
            </w:pPr>
          </w:p>
        </w:tc>
        <w:tc>
          <w:tcPr>
            <w:tcW w:w="680" w:type="dxa"/>
            <w:vAlign w:val="bottom"/>
          </w:tcPr>
          <w:p>
            <w:pPr>
              <w:jc w:val="right"/>
              <w:ind w:right="319"/>
              <w:spacing w:after="0"/>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99"/>
              <w:spacing w:after="0"/>
              <w:rPr>
                <w:sz w:val="20"/>
                <w:szCs w:val="20"/>
                <w:color w:val="auto"/>
              </w:rPr>
            </w:pPr>
            <w:r>
              <w:rPr>
                <w:rFonts w:ascii="Arial" w:cs="Arial" w:eastAsia="Arial" w:hAnsi="Arial"/>
                <w:sz w:val="8"/>
                <w:szCs w:val="8"/>
                <w:b w:val="1"/>
                <w:bCs w:val="1"/>
                <w:color w:val="auto"/>
              </w:rPr>
              <w:t>2021</w:t>
            </w:r>
          </w:p>
        </w:tc>
        <w:tc>
          <w:tcPr>
            <w:tcW w:w="0" w:type="dxa"/>
            <w:vAlign w:val="bottom"/>
          </w:tcPr>
          <w:p>
            <w:pPr>
              <w:spacing w:after="0"/>
              <w:rPr>
                <w:sz w:val="1"/>
                <w:szCs w:val="1"/>
                <w:color w:val="auto"/>
              </w:rPr>
            </w:pPr>
          </w:p>
        </w:tc>
      </w:tr>
      <w:tr>
        <w:trPr>
          <w:trHeight w:val="106"/>
        </w:trPr>
        <w:tc>
          <w:tcPr>
            <w:tcW w:w="1820" w:type="dxa"/>
            <w:vAlign w:val="bottom"/>
            <w:tcBorders>
              <w:top w:val="single" w:sz="8" w:color="auto"/>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8"/>
                <w:szCs w:val="8"/>
                <w:b w:val="1"/>
                <w:bCs w:val="1"/>
                <w:color w:val="auto"/>
              </w:rPr>
              <w:t>Unaudited</w:t>
            </w:r>
          </w:p>
        </w:tc>
        <w:tc>
          <w:tcPr>
            <w:tcW w:w="24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660" w:type="dxa"/>
            <w:vAlign w:val="bottom"/>
            <w:tcBorders>
              <w:top w:val="single" w:sz="8" w:color="auto"/>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ind w:left="20"/>
              <w:spacing w:after="0"/>
              <w:rPr>
                <w:sz w:val="20"/>
                <w:szCs w:val="20"/>
                <w:color w:val="auto"/>
              </w:rPr>
            </w:pPr>
            <w:r>
              <w:rPr>
                <w:rFonts w:ascii="Arial" w:cs="Arial" w:eastAsia="Arial" w:hAnsi="Arial"/>
                <w:sz w:val="8"/>
                <w:szCs w:val="8"/>
                <w:color w:val="auto"/>
              </w:rPr>
              <w:t>2012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92,445</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390,527</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532,768</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601,530</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634,301</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650,031</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658,438</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661,974</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663,088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w w:val="8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663,684</w:t>
            </w: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rPr>
                <w:sz w:val="20"/>
                <w:szCs w:val="20"/>
                <w:color w:val="auto"/>
              </w:rPr>
            </w:pPr>
            <w:r>
              <w:rPr>
                <w:rFonts w:ascii="Arial" w:cs="Arial" w:eastAsia="Arial" w:hAnsi="Arial"/>
                <w:sz w:val="8"/>
                <w:szCs w:val="8"/>
                <w:color w:val="auto"/>
              </w:rPr>
              <w:t>2013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44,334</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202,095</w:t>
            </w:r>
          </w:p>
        </w:tc>
        <w:tc>
          <w:tcPr>
            <w:tcW w:w="180" w:type="dxa"/>
            <w:vAlign w:val="bottom"/>
          </w:tcPr>
          <w:p>
            <w:pPr>
              <w:spacing w:after="0"/>
              <w:rPr>
                <w:sz w:val="9"/>
                <w:szCs w:val="9"/>
                <w:color w:val="auto"/>
              </w:rPr>
            </w:pPr>
          </w:p>
        </w:tc>
        <w:tc>
          <w:tcPr>
            <w:tcW w:w="760" w:type="dxa"/>
            <w:vAlign w:val="bottom"/>
          </w:tcPr>
          <w:p>
            <w:pPr>
              <w:jc w:val="right"/>
              <w:ind w:right="19"/>
              <w:spacing w:after="0"/>
              <w:rPr>
                <w:sz w:val="20"/>
                <w:szCs w:val="20"/>
                <w:color w:val="auto"/>
              </w:rPr>
            </w:pPr>
            <w:r>
              <w:rPr>
                <w:rFonts w:ascii="Arial" w:cs="Arial" w:eastAsia="Arial" w:hAnsi="Arial"/>
                <w:sz w:val="8"/>
                <w:szCs w:val="8"/>
                <w:color w:val="auto"/>
              </w:rPr>
              <w:t>297,029</w:t>
            </w:r>
          </w:p>
        </w:tc>
        <w:tc>
          <w:tcPr>
            <w:tcW w:w="220" w:type="dxa"/>
            <w:vAlign w:val="bottom"/>
          </w:tcPr>
          <w:p>
            <w:pPr>
              <w:spacing w:after="0"/>
              <w:rPr>
                <w:sz w:val="9"/>
                <w:szCs w:val="9"/>
                <w:color w:val="auto"/>
              </w:rPr>
            </w:pPr>
          </w:p>
        </w:tc>
        <w:tc>
          <w:tcPr>
            <w:tcW w:w="740" w:type="dxa"/>
            <w:vAlign w:val="bottom"/>
          </w:tcPr>
          <w:p>
            <w:pPr>
              <w:jc w:val="right"/>
              <w:ind w:right="39"/>
              <w:spacing w:after="0"/>
              <w:rPr>
                <w:sz w:val="20"/>
                <w:szCs w:val="20"/>
                <w:color w:val="auto"/>
              </w:rPr>
            </w:pPr>
            <w:r>
              <w:rPr>
                <w:rFonts w:ascii="Arial" w:cs="Arial" w:eastAsia="Arial" w:hAnsi="Arial"/>
                <w:sz w:val="8"/>
                <w:szCs w:val="8"/>
                <w:color w:val="auto"/>
              </w:rPr>
              <w:t>340,031</w:t>
            </w:r>
          </w:p>
        </w:tc>
        <w:tc>
          <w:tcPr>
            <w:tcW w:w="240" w:type="dxa"/>
            <w:vAlign w:val="bottom"/>
          </w:tcPr>
          <w:p>
            <w:pPr>
              <w:spacing w:after="0"/>
              <w:rPr>
                <w:sz w:val="9"/>
                <w:szCs w:val="9"/>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361,973</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372,374</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375,243</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376,138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377,111</w:t>
            </w:r>
          </w:p>
        </w:tc>
        <w:tc>
          <w:tcPr>
            <w:tcW w:w="0" w:type="dxa"/>
            <w:vAlign w:val="bottom"/>
          </w:tcPr>
          <w:p>
            <w:pPr>
              <w:spacing w:after="0"/>
              <w:rPr>
                <w:sz w:val="1"/>
                <w:szCs w:val="1"/>
                <w:color w:val="auto"/>
              </w:rPr>
            </w:pPr>
          </w:p>
        </w:tc>
      </w:tr>
      <w:tr>
        <w:trPr>
          <w:trHeight w:val="132"/>
        </w:trPr>
        <w:tc>
          <w:tcPr>
            <w:tcW w:w="1820" w:type="dxa"/>
            <w:vAlign w:val="bottom"/>
            <w:shd w:val="clear" w:color="auto" w:fill="CCEEFF"/>
          </w:tcPr>
          <w:p>
            <w:pPr>
              <w:ind w:left="20"/>
              <w:spacing w:after="0"/>
              <w:rPr>
                <w:sz w:val="20"/>
                <w:szCs w:val="20"/>
                <w:color w:val="auto"/>
              </w:rPr>
            </w:pPr>
            <w:r>
              <w:rPr>
                <w:rFonts w:ascii="Arial" w:cs="Arial" w:eastAsia="Arial" w:hAnsi="Arial"/>
                <w:sz w:val="8"/>
                <w:szCs w:val="8"/>
                <w:color w:val="auto"/>
              </w:rPr>
              <w:t>2014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21,494</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126,404</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195,461</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232,502</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246,963</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252,549</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254,218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254,835</w:t>
            </w: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rPr>
                <w:sz w:val="20"/>
                <w:szCs w:val="20"/>
                <w:color w:val="auto"/>
              </w:rPr>
            </w:pPr>
            <w:r>
              <w:rPr>
                <w:rFonts w:ascii="Arial" w:cs="Arial" w:eastAsia="Arial" w:hAnsi="Arial"/>
                <w:sz w:val="8"/>
                <w:szCs w:val="8"/>
                <w:color w:val="auto"/>
              </w:rPr>
              <w:t>2015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760" w:type="dxa"/>
            <w:vAlign w:val="bottom"/>
          </w:tcPr>
          <w:p>
            <w:pPr>
              <w:jc w:val="right"/>
              <w:ind w:right="19"/>
              <w:spacing w:after="0"/>
              <w:rPr>
                <w:sz w:val="20"/>
                <w:szCs w:val="20"/>
                <w:color w:val="auto"/>
              </w:rPr>
            </w:pPr>
            <w:r>
              <w:rPr>
                <w:rFonts w:ascii="Arial" w:cs="Arial" w:eastAsia="Arial" w:hAnsi="Arial"/>
                <w:sz w:val="8"/>
                <w:szCs w:val="8"/>
                <w:color w:val="auto"/>
              </w:rPr>
              <w:t>12,688</w:t>
            </w:r>
          </w:p>
        </w:tc>
        <w:tc>
          <w:tcPr>
            <w:tcW w:w="220" w:type="dxa"/>
            <w:vAlign w:val="bottom"/>
          </w:tcPr>
          <w:p>
            <w:pPr>
              <w:spacing w:after="0"/>
              <w:rPr>
                <w:sz w:val="9"/>
                <w:szCs w:val="9"/>
                <w:color w:val="auto"/>
              </w:rPr>
            </w:pPr>
          </w:p>
        </w:tc>
        <w:tc>
          <w:tcPr>
            <w:tcW w:w="740" w:type="dxa"/>
            <w:vAlign w:val="bottom"/>
          </w:tcPr>
          <w:p>
            <w:pPr>
              <w:jc w:val="right"/>
              <w:ind w:right="39"/>
              <w:spacing w:after="0"/>
              <w:rPr>
                <w:sz w:val="20"/>
                <w:szCs w:val="20"/>
                <w:color w:val="auto"/>
              </w:rPr>
            </w:pPr>
            <w:r>
              <w:rPr>
                <w:rFonts w:ascii="Arial" w:cs="Arial" w:eastAsia="Arial" w:hAnsi="Arial"/>
                <w:sz w:val="8"/>
                <w:szCs w:val="8"/>
                <w:color w:val="auto"/>
              </w:rPr>
              <w:t>84,706</w:t>
            </w:r>
          </w:p>
        </w:tc>
        <w:tc>
          <w:tcPr>
            <w:tcW w:w="240" w:type="dxa"/>
            <w:vAlign w:val="bottom"/>
          </w:tcPr>
          <w:p>
            <w:pPr>
              <w:spacing w:after="0"/>
              <w:rPr>
                <w:sz w:val="9"/>
                <w:szCs w:val="9"/>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145,362</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167,458</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172,825</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174,561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175,513</w:t>
            </w:r>
          </w:p>
        </w:tc>
        <w:tc>
          <w:tcPr>
            <w:tcW w:w="0" w:type="dxa"/>
            <w:vAlign w:val="bottom"/>
          </w:tcPr>
          <w:p>
            <w:pPr>
              <w:spacing w:after="0"/>
              <w:rPr>
                <w:sz w:val="1"/>
                <w:szCs w:val="1"/>
                <w:color w:val="auto"/>
              </w:rPr>
            </w:pPr>
          </w:p>
        </w:tc>
      </w:tr>
      <w:tr>
        <w:trPr>
          <w:trHeight w:val="132"/>
        </w:trPr>
        <w:tc>
          <w:tcPr>
            <w:tcW w:w="1820" w:type="dxa"/>
            <w:vAlign w:val="bottom"/>
            <w:shd w:val="clear" w:color="auto" w:fill="CCEEFF"/>
          </w:tcPr>
          <w:p>
            <w:pPr>
              <w:ind w:left="20"/>
              <w:spacing w:after="0"/>
              <w:rPr>
                <w:sz w:val="20"/>
                <w:szCs w:val="20"/>
                <w:color w:val="auto"/>
              </w:rPr>
            </w:pPr>
            <w:r>
              <w:rPr>
                <w:rFonts w:ascii="Arial" w:cs="Arial" w:eastAsia="Arial" w:hAnsi="Arial"/>
                <w:sz w:val="8"/>
                <w:szCs w:val="8"/>
                <w:color w:val="auto"/>
              </w:rPr>
              <w:t>2016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9,593</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63,585</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109,793</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123,800</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126,893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128,160</w:t>
            </w: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rPr>
                <w:sz w:val="20"/>
                <w:szCs w:val="20"/>
                <w:color w:val="auto"/>
              </w:rPr>
            </w:pPr>
            <w:r>
              <w:rPr>
                <w:rFonts w:ascii="Arial" w:cs="Arial" w:eastAsia="Arial" w:hAnsi="Arial"/>
                <w:sz w:val="8"/>
                <w:szCs w:val="8"/>
                <w:color w:val="auto"/>
              </w:rPr>
              <w:t>2017</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76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9"/>
                <w:szCs w:val="9"/>
                <w:color w:val="auto"/>
              </w:rPr>
            </w:pPr>
          </w:p>
        </w:tc>
        <w:tc>
          <w:tcPr>
            <w:tcW w:w="74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5,733</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45,879</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77,297</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87,272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89,896</w:t>
            </w:r>
          </w:p>
        </w:tc>
        <w:tc>
          <w:tcPr>
            <w:tcW w:w="0" w:type="dxa"/>
            <w:vAlign w:val="bottom"/>
          </w:tcPr>
          <w:p>
            <w:pPr>
              <w:spacing w:after="0"/>
              <w:rPr>
                <w:sz w:val="1"/>
                <w:szCs w:val="1"/>
                <w:color w:val="auto"/>
              </w:rPr>
            </w:pPr>
          </w:p>
        </w:tc>
      </w:tr>
      <w:tr>
        <w:trPr>
          <w:trHeight w:val="132"/>
        </w:trPr>
        <w:tc>
          <w:tcPr>
            <w:tcW w:w="1820" w:type="dxa"/>
            <w:vAlign w:val="bottom"/>
            <w:shd w:val="clear" w:color="auto" w:fill="CCEEFF"/>
          </w:tcPr>
          <w:p>
            <w:pPr>
              <w:ind w:left="20"/>
              <w:spacing w:after="0"/>
              <w:rPr>
                <w:sz w:val="20"/>
                <w:szCs w:val="20"/>
                <w:color w:val="auto"/>
              </w:rPr>
            </w:pPr>
            <w:r>
              <w:rPr>
                <w:rFonts w:ascii="Arial" w:cs="Arial" w:eastAsia="Arial" w:hAnsi="Arial"/>
                <w:sz w:val="8"/>
                <w:szCs w:val="8"/>
                <w:color w:val="auto"/>
              </w:rPr>
              <w:t>2018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3,134</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31,625</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48,183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55,267</w:t>
            </w: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rPr>
                <w:sz w:val="20"/>
                <w:szCs w:val="20"/>
                <w:color w:val="auto"/>
              </w:rPr>
            </w:pPr>
            <w:r>
              <w:rPr>
                <w:rFonts w:ascii="Arial" w:cs="Arial" w:eastAsia="Arial" w:hAnsi="Arial"/>
                <w:sz w:val="8"/>
                <w:szCs w:val="8"/>
                <w:color w:val="auto"/>
              </w:rPr>
              <w:t>2019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76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9"/>
                <w:szCs w:val="9"/>
                <w:color w:val="auto"/>
              </w:rPr>
            </w:pPr>
          </w:p>
        </w:tc>
        <w:tc>
          <w:tcPr>
            <w:tcW w:w="74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1,871</w:t>
            </w:r>
          </w:p>
        </w:tc>
        <w:tc>
          <w:tcPr>
            <w:tcW w:w="260" w:type="dxa"/>
            <w:vAlign w:val="bottom"/>
          </w:tcPr>
          <w:p>
            <w:pPr>
              <w:spacing w:after="0"/>
              <w:rPr>
                <w:sz w:val="9"/>
                <w:szCs w:val="9"/>
                <w:color w:val="auto"/>
              </w:rPr>
            </w:pPr>
          </w:p>
        </w:tc>
        <w:tc>
          <w:tcPr>
            <w:tcW w:w="680" w:type="dxa"/>
            <w:vAlign w:val="bottom"/>
          </w:tcPr>
          <w:p>
            <w:pPr>
              <w:jc w:val="right"/>
              <w:ind w:right="19"/>
              <w:spacing w:after="0"/>
              <w:rPr>
                <w:sz w:val="20"/>
                <w:szCs w:val="20"/>
                <w:color w:val="auto"/>
              </w:rPr>
            </w:pPr>
            <w:r>
              <w:rPr>
                <w:rFonts w:ascii="Arial" w:cs="Arial" w:eastAsia="Arial" w:hAnsi="Arial"/>
                <w:sz w:val="8"/>
                <w:szCs w:val="8"/>
                <w:color w:val="auto"/>
              </w:rPr>
              <w:t>17,595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30,728</w:t>
            </w:r>
          </w:p>
        </w:tc>
        <w:tc>
          <w:tcPr>
            <w:tcW w:w="0" w:type="dxa"/>
            <w:vAlign w:val="bottom"/>
          </w:tcPr>
          <w:p>
            <w:pPr>
              <w:spacing w:after="0"/>
              <w:rPr>
                <w:sz w:val="1"/>
                <w:szCs w:val="1"/>
                <w:color w:val="auto"/>
              </w:rPr>
            </w:pPr>
          </w:p>
        </w:tc>
      </w:tr>
      <w:tr>
        <w:trPr>
          <w:trHeight w:val="132"/>
        </w:trPr>
        <w:tc>
          <w:tcPr>
            <w:tcW w:w="1820" w:type="dxa"/>
            <w:vAlign w:val="bottom"/>
            <w:shd w:val="clear" w:color="auto" w:fill="CCEEFF"/>
          </w:tcPr>
          <w:p>
            <w:pPr>
              <w:ind w:left="20"/>
              <w:spacing w:after="0"/>
              <w:rPr>
                <w:sz w:val="20"/>
                <w:szCs w:val="20"/>
                <w:color w:val="auto"/>
              </w:rPr>
            </w:pPr>
            <w:r>
              <w:rPr>
                <w:rFonts w:ascii="Arial" w:cs="Arial" w:eastAsia="Arial" w:hAnsi="Arial"/>
                <w:sz w:val="8"/>
                <w:szCs w:val="8"/>
                <w:color w:val="auto"/>
              </w:rPr>
              <w:t>2020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rPr>
              <w:t>1,104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8,268</w:t>
            </w:r>
          </w:p>
        </w:tc>
        <w:tc>
          <w:tcPr>
            <w:tcW w:w="0" w:type="dxa"/>
            <w:vAlign w:val="bottom"/>
          </w:tcPr>
          <w:p>
            <w:pPr>
              <w:spacing w:after="0"/>
              <w:rPr>
                <w:sz w:val="1"/>
                <w:szCs w:val="1"/>
                <w:color w:val="auto"/>
              </w:rPr>
            </w:pPr>
          </w:p>
        </w:tc>
      </w:tr>
      <w:tr>
        <w:trPr>
          <w:trHeight w:val="11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2021</w:t>
            </w: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70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237</w:t>
            </w:r>
          </w:p>
        </w:tc>
        <w:tc>
          <w:tcPr>
            <w:tcW w:w="0" w:type="dxa"/>
            <w:vAlign w:val="bottom"/>
          </w:tcPr>
          <w:p>
            <w:pPr>
              <w:spacing w:after="0"/>
              <w:rPr>
                <w:sz w:val="1"/>
                <w:szCs w:val="1"/>
                <w:color w:val="auto"/>
              </w:rPr>
            </w:pPr>
          </w:p>
        </w:tc>
      </w:tr>
      <w:tr>
        <w:trPr>
          <w:trHeight w:val="114"/>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Total paid</w:t>
            </w: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1,783,699</w:t>
            </w:r>
          </w:p>
        </w:tc>
        <w:tc>
          <w:tcPr>
            <w:tcW w:w="0" w:type="dxa"/>
            <w:vAlign w:val="bottom"/>
          </w:tcPr>
          <w:p>
            <w:pPr>
              <w:spacing w:after="0"/>
              <w:rPr>
                <w:sz w:val="1"/>
                <w:szCs w:val="1"/>
                <w:color w:val="auto"/>
              </w:rPr>
            </w:pPr>
          </w:p>
        </w:tc>
      </w:tr>
      <w:tr>
        <w:trPr>
          <w:trHeight w:val="112"/>
        </w:trPr>
        <w:tc>
          <w:tcPr>
            <w:tcW w:w="1920" w:type="dxa"/>
            <w:vAlign w:val="bottom"/>
            <w:gridSpan w:val="2"/>
          </w:tcPr>
          <w:p>
            <w:pPr>
              <w:ind w:left="20"/>
              <w:spacing w:after="0"/>
              <w:rPr>
                <w:sz w:val="20"/>
                <w:szCs w:val="20"/>
                <w:color w:val="auto"/>
              </w:rPr>
            </w:pPr>
            <w:r>
              <w:rPr>
                <w:rFonts w:ascii="Arial" w:cs="Arial" w:eastAsia="Arial" w:hAnsi="Arial"/>
                <w:sz w:val="8"/>
                <w:szCs w:val="8"/>
                <w:color w:val="auto"/>
              </w:rPr>
              <w:t>Total incurred</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ind w:right="99"/>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2,404,981</w:t>
            </w:r>
          </w:p>
        </w:tc>
        <w:tc>
          <w:tcPr>
            <w:tcW w:w="0" w:type="dxa"/>
            <w:vAlign w:val="bottom"/>
          </w:tcPr>
          <w:p>
            <w:pPr>
              <w:spacing w:after="0"/>
              <w:rPr>
                <w:sz w:val="1"/>
                <w:szCs w:val="1"/>
                <w:color w:val="auto"/>
              </w:rPr>
            </w:pPr>
          </w:p>
        </w:tc>
      </w:tr>
      <w:tr>
        <w:trPr>
          <w:trHeight w:val="13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Total paid</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1,783,699</w:t>
            </w:r>
          </w:p>
        </w:tc>
        <w:tc>
          <w:tcPr>
            <w:tcW w:w="0" w:type="dxa"/>
            <w:vAlign w:val="bottom"/>
          </w:tcPr>
          <w:p>
            <w:pPr>
              <w:spacing w:after="0"/>
              <w:rPr>
                <w:sz w:val="1"/>
                <w:szCs w:val="1"/>
                <w:color w:val="auto"/>
              </w:rPr>
            </w:pPr>
          </w:p>
        </w:tc>
      </w:tr>
      <w:tr>
        <w:trPr>
          <w:trHeight w:val="115"/>
        </w:trPr>
        <w:tc>
          <w:tcPr>
            <w:tcW w:w="2140" w:type="dxa"/>
            <w:vAlign w:val="bottom"/>
            <w:gridSpan w:val="3"/>
          </w:tcPr>
          <w:p>
            <w:pPr>
              <w:ind w:left="20"/>
              <w:spacing w:after="0"/>
              <w:rPr>
                <w:sz w:val="20"/>
                <w:szCs w:val="20"/>
                <w:color w:val="auto"/>
              </w:rPr>
            </w:pPr>
            <w:r>
              <w:rPr>
                <w:rFonts w:ascii="Arial" w:cs="Arial" w:eastAsia="Arial" w:hAnsi="Arial"/>
                <w:sz w:val="8"/>
                <w:szCs w:val="8"/>
                <w:color w:val="auto"/>
              </w:rPr>
              <w:t>All outstanding liabilities before 2011, net of reinsurance</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19,362</w:t>
            </w:r>
          </w:p>
        </w:tc>
        <w:tc>
          <w:tcPr>
            <w:tcW w:w="0" w:type="dxa"/>
            <w:vAlign w:val="bottom"/>
          </w:tcPr>
          <w:p>
            <w:pPr>
              <w:spacing w:after="0"/>
              <w:rPr>
                <w:sz w:val="1"/>
                <w:szCs w:val="1"/>
                <w:color w:val="auto"/>
              </w:rPr>
            </w:pPr>
          </w:p>
        </w:tc>
      </w:tr>
      <w:tr>
        <w:trPr>
          <w:trHeight w:val="12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Run-off reserves</w:t>
            </w: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681</w:t>
            </w:r>
          </w:p>
        </w:tc>
        <w:tc>
          <w:tcPr>
            <w:tcW w:w="0" w:type="dxa"/>
            <w:vAlign w:val="bottom"/>
          </w:tcPr>
          <w:p>
            <w:pPr>
              <w:spacing w:after="0"/>
              <w:rPr>
                <w:sz w:val="1"/>
                <w:szCs w:val="1"/>
                <w:color w:val="auto"/>
              </w:rPr>
            </w:pPr>
          </w:p>
        </w:tc>
      </w:tr>
      <w:tr>
        <w:trPr>
          <w:trHeight w:val="122"/>
        </w:trPr>
        <w:tc>
          <w:tcPr>
            <w:tcW w:w="1920" w:type="dxa"/>
            <w:vAlign w:val="bottom"/>
            <w:gridSpan w:val="2"/>
          </w:tcPr>
          <w:p>
            <w:pPr>
              <w:ind w:left="20"/>
              <w:spacing w:after="0"/>
              <w:rPr>
                <w:sz w:val="20"/>
                <w:szCs w:val="20"/>
                <w:color w:val="auto"/>
              </w:rPr>
            </w:pPr>
            <w:r>
              <w:rPr>
                <w:rFonts w:ascii="Arial" w:cs="Arial" w:eastAsia="Arial" w:hAnsi="Arial"/>
                <w:sz w:val="8"/>
                <w:szCs w:val="8"/>
                <w:color w:val="auto"/>
              </w:rPr>
              <w:t>Total loss reserves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641,325</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33" w:lineRule="auto"/>
        <w:tabs>
          <w:tab w:leader="none" w:pos="240" w:val="left"/>
        </w:tabs>
        <w:numPr>
          <w:ilvl w:val="0"/>
          <w:numId w:val="70"/>
        </w:numPr>
        <w:rPr>
          <w:rFonts w:ascii="Arial" w:cs="Arial" w:eastAsia="Arial" w:hAnsi="Arial"/>
          <w:sz w:val="7"/>
          <w:szCs w:val="7"/>
          <w:color w:val="auto"/>
        </w:rPr>
      </w:pPr>
      <w:r>
        <w:rPr>
          <w:rFonts w:ascii="Arial" w:cs="Arial" w:eastAsia="Arial" w:hAnsi="Arial"/>
          <w:sz w:val="11"/>
          <w:szCs w:val="11"/>
          <w:color w:val="auto"/>
        </w:rPr>
        <w:t>Represents the year in which first monthly mortgage payments have been missed by the borrower.</w:t>
      </w:r>
    </w:p>
    <w:p>
      <w:pPr>
        <w:ind w:left="240" w:hanging="238"/>
        <w:spacing w:after="0"/>
        <w:tabs>
          <w:tab w:leader="none" w:pos="240" w:val="left"/>
        </w:tabs>
        <w:numPr>
          <w:ilvl w:val="0"/>
          <w:numId w:val="70"/>
        </w:numPr>
        <w:rPr>
          <w:rFonts w:ascii="Arial" w:cs="Arial" w:eastAsia="Arial" w:hAnsi="Arial"/>
          <w:sz w:val="7"/>
          <w:szCs w:val="7"/>
          <w:color w:val="auto"/>
        </w:rPr>
      </w:pPr>
      <w:r>
        <w:rPr>
          <w:rFonts w:ascii="Arial" w:cs="Arial" w:eastAsia="Arial" w:hAnsi="Arial"/>
          <w:sz w:val="11"/>
          <w:szCs w:val="11"/>
          <w:color w:val="auto"/>
        </w:rPr>
        <w:t>Excludes cumulative paid claims and allocated claim adjustment expenses related to run-off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1" w:name="page152"/>
    <w:bookmarkEnd w:id="151"/>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our average payout of incurred claims by age as of December 31, 2021: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Average annual percentage payout of incurred claims, net of reinsurance, by age (unaudited) </w:t>
      </w:r>
      <w:r>
        <w:rPr>
          <w:rFonts w:ascii="Arial" w:cs="Arial" w:eastAsia="Arial" w:hAnsi="Arial"/>
          <w:sz w:val="14"/>
          <w:szCs w:val="14"/>
          <w:b w:val="1"/>
          <w:bCs w:val="1"/>
          <w:color w:val="auto"/>
          <w:vertAlign w:val="superscript"/>
        </w:rPr>
        <w:t>(1)</w:t>
      </w:r>
    </w:p>
    <w:tbl>
      <w:tblPr>
        <w:tblLayout w:type="fixed"/>
        <w:tblInd w:w="0" w:type="dxa"/>
        <w:tblCellMar>
          <w:top w:w="0" w:type="dxa"/>
          <w:left w:w="0" w:type="dxa"/>
          <w:bottom w:w="0" w:type="dxa"/>
          <w:right w:w="0" w:type="dxa"/>
        </w:tblCellMar>
      </w:tblPr>
      <w:tr>
        <w:trPr>
          <w:trHeight w:val="154"/>
        </w:trPr>
        <w:tc>
          <w:tcPr>
            <w:tcW w:w="2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Years</w:t>
            </w: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color w:val="auto"/>
              </w:rPr>
              <w:t>3</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6</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7</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8</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9</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Arial" w:cs="Arial" w:eastAsia="Arial" w:hAnsi="Arial"/>
                <w:sz w:val="12"/>
                <w:szCs w:val="12"/>
                <w:color w:val="auto"/>
              </w:rPr>
              <w:t>10</w:t>
            </w:r>
          </w:p>
        </w:tc>
      </w:tr>
      <w:tr>
        <w:trPr>
          <w:trHeight w:val="149"/>
        </w:trPr>
        <w:tc>
          <w:tcPr>
            <w:tcW w:w="2180" w:type="dxa"/>
            <w:vAlign w:val="bottom"/>
            <w:gridSpan w:val="2"/>
          </w:tcPr>
          <w:p>
            <w:pPr>
              <w:ind w:left="20"/>
              <w:spacing w:after="0"/>
              <w:rPr>
                <w:sz w:val="20"/>
                <w:szCs w:val="20"/>
                <w:color w:val="auto"/>
              </w:rPr>
            </w:pPr>
            <w:r>
              <w:rPr>
                <w:rFonts w:ascii="Arial" w:cs="Arial" w:eastAsia="Arial" w:hAnsi="Arial"/>
                <w:sz w:val="12"/>
                <w:szCs w:val="12"/>
                <w:color w:val="auto"/>
              </w:rPr>
              <w:t>Percentage of payout</w:t>
            </w:r>
          </w:p>
        </w:tc>
        <w:tc>
          <w:tcPr>
            <w:tcW w:w="820" w:type="dxa"/>
            <w:vAlign w:val="bottom"/>
          </w:tcPr>
          <w:p>
            <w:pPr>
              <w:jc w:val="right"/>
              <w:spacing w:after="0"/>
              <w:rPr>
                <w:sz w:val="20"/>
                <w:szCs w:val="20"/>
                <w:color w:val="auto"/>
              </w:rPr>
            </w:pPr>
            <w:r>
              <w:rPr>
                <w:rFonts w:ascii="Arial" w:cs="Arial" w:eastAsia="Arial" w:hAnsi="Arial"/>
                <w:sz w:val="12"/>
                <w:szCs w:val="12"/>
                <w:color w:val="auto"/>
              </w:rPr>
              <w:t>6.0 %</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33.3 %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25.7 %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11.0 %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4.0 %</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0.8 %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0.3 %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0.2 %</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0.1 %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04" w:lineRule="auto"/>
        <w:tabs>
          <w:tab w:leader="none" w:pos="240" w:val="left"/>
        </w:tabs>
        <w:numPr>
          <w:ilvl w:val="0"/>
          <w:numId w:val="71"/>
        </w:numPr>
        <w:rPr>
          <w:rFonts w:ascii="Arial" w:cs="Arial" w:eastAsia="Arial" w:hAnsi="Arial"/>
          <w:sz w:val="14"/>
          <w:szCs w:val="14"/>
          <w:color w:val="auto"/>
          <w:vertAlign w:val="superscript"/>
        </w:rPr>
      </w:pPr>
      <w:r>
        <w:rPr>
          <w:rFonts w:ascii="Arial" w:cs="Arial" w:eastAsia="Arial" w:hAnsi="Arial"/>
          <w:sz w:val="11"/>
          <w:szCs w:val="11"/>
          <w:color w:val="auto"/>
        </w:rPr>
        <w:t>Excludes run-off business.</w:t>
      </w:r>
    </w:p>
    <w:p>
      <w:pPr>
        <w:spacing w:after="0" w:line="95" w:lineRule="exact"/>
        <w:rPr>
          <w:sz w:val="20"/>
          <w:szCs w:val="20"/>
          <w:color w:val="auto"/>
        </w:rPr>
      </w:pPr>
    </w:p>
    <w:p>
      <w:pPr>
        <w:ind w:left="480" w:hanging="478"/>
        <w:spacing w:after="0"/>
        <w:tabs>
          <w:tab w:leader="none" w:pos="4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Reinsurance</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effects of reinsurance on premiums written and earned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premiums written:</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Direct</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985,826</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943,504</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840,086</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Assumed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74"/>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Ceded</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(49,083)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(22,065)</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premiums written</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914,323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894,853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818,646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premiums earned: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Direct</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1,046,452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1,020,016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878,416</w:t>
            </w: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Assumed</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74"/>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Ceded</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(71,822)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(49,083)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(22,065)</w:t>
            </w:r>
          </w:p>
        </w:tc>
        <w:tc>
          <w:tcPr>
            <w:tcW w:w="0" w:type="dxa"/>
            <w:vAlign w:val="bottom"/>
          </w:tcPr>
          <w:p>
            <w:pPr>
              <w:spacing w:after="0"/>
              <w:rPr>
                <w:sz w:val="1"/>
                <w:szCs w:val="1"/>
                <w:color w:val="auto"/>
              </w:rPr>
            </w:pP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Net premiums earned</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974,949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971,365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856,976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difference of $60.6 million between written premiums of $914.3 million and earned premiums of $974.9 million represents the decrease in unearned premiums for the year ended December 31, 2021. The decrease in unearned premiums was mainly the result of an increase in policy cancellations in our single premium mortgage insurance product driven by low interest rates and higher mortgage refinancing which resulted in lower persistency in 2021.</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Insurance-linked notes excess of loss reinsurance treaties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On September 2, 2021, we obtained $371.5 million of excess of loss reinsurance coverage from Triangle Re 2021-3 Ltd. (“Triangle Re 2021-3”) on a portfolio of existing mortgage insurance policies written from January 2021 through June 2021. In connection with entering into the reinsurance agreement with Triangle Re 2021-3, we believe that the risk transfer requirements for reinsurance accounting were met as Triangle Re 2021-3 is assuming significant insurance risk and a reasonable possibility of significant loss. At closing, we retain the first layer of aggregate losses up to $303.5 million. Triangle Re 2021-3 provides 72% reinsurance coverage for losses above our retained layer up to $371.5 million.</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April 16, 2021, we obtained $302.7 million of excess of loss reinsurance coverage from Triangle Re 2021-2 Ltd. (“Triangle Re 2021-2”) on a portfolio of existing mortgage insurance policies written from September 2020 through December 2020. In connection with entering into the reinsurance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2" w:name="page153"/>
    <w:bookmarkEnd w:id="152"/>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with Triangle Re 2021-2, we believe that the risk transfer requirements for reinsurance accounting were met as Triangle Re 2021-2 is assuming significant insurance risk and a reasonable possibility of significant loss. For the reinsurance coverage, we retain the first layer of aggregate losses up to $188.6 million. Triangle Re 2021-2 provides 76% reinsurance coverage for losses above our retained first layer up to $302.7 million.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March 2, 2021, we obtained $495 million of excess of loss reinsurance coverage from Triangle Re 2021-1 Ltd. (“Triangle Re 2021-1”) on a portfolio of existing seasoned mortgage insurance policies written from January 2014 through December 2018 and from October 2019 through December 2019. In connection with entering into the reinsurance agreement with Triangle Re 2021-1, we believe that the risk transfer requirements for reinsurance accounting were met as Triangle Re 2021-1 is assuming significant insurance risk and a reasonable possibility of significant loss. Triangle Re 2021-1 reinsurance coverage is derived by applying a reinsurance cession percentage to the MI coverage for each loan to get to an Aggregate Exposed Principal Balance (“AEPB”). This AEPB accounts for any existing reinsurance and ensures we retain a minimum 5% vertical risk retention on each loan. For the reinsurance coverage, we retain the first layer of aggregate losses up to $212.1 million. Triangle Re 2021-1 provides 100.0% reinsurance coverage for losses above our retained first layer up to $495.0 million.</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On October 22, 2020, we obtained $349.6 million of excess of loss reinsurance coverage from Triangle Re 2020-1 on a portfolio of existing mortgage insurance policies written from January 2020 through August 2020. In connection with entering into the reinsurance agreement with Triangle Re 2020-1, we concluded that the risk transfer requirements for reinsurance accounting were met as Triangle Re 2020-1 is assuming significant insurance risk and a reasonable possibility of significant loss. For the reinsurance coverage, we retain the first layer of aggregate losses up to $521.8 million. Triangle Re 2020-1 provides 67.0% reinsurance coverage for losses above our retained first layer up to $349.6 million.</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On November 25, 2019, we obtained $302.8 million of excess of loss reinsurance coverage with Triangle Re 2019-1, on a portfolio of existing mortgage insurance policies written from January 2019 through September 2019. In connection with entering into the reinsurance agreement with Triangle Re 2019-1, we concluded that the risk transfer requirements for reinsurance accounting were met as Triangle Re 2019-1 is assuming significant insurance risk and a reasonable possibility of significant loss. For the reinsurance coverage, we retain the first layer of aggregate losses up to $237.7 million. Triangle Re 2019-1 provides 63.7% reinsurance coverage for losses above our retained first layer up to $302.8 million.</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excess of loss reinsurance treaties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On February 4, 2021, we executed an excess of loss reinsurance transaction with a panel of reinsurers, which will provide up to $205.8 million of reinsurance coverage on a portion of current and expected new insurance written for the 2021 book year, effective January 1, 2021.</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Effective January 1, 2020, we executed an excess of loss reinsurance transaction with a panel of reinsurers covering a portion of the loss tier on the then current and expected new insurance written for the 2020 book year. We also entered into excess of loss reinsurance agreements with other external panels of reinsurers covering our 2016 through 2019 books of business.</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Subsequent to year end, on January 27, 2022 we executed an excess of loss reinsurance transaction with a panel of reinsurers, which will provide up to $294 million of reinsurance coverage on a portion of current and expected new insurance written for the 2022 book year, effective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3" w:name="page154"/>
    <w:bookmarkEnd w:id="153"/>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0" w:type="dxa"/>
            <w:vAlign w:val="bottom"/>
          </w:tcPr>
          <w:p>
            <w:pPr>
              <w:spacing w:after="0"/>
              <w:rPr>
                <w:sz w:val="20"/>
                <w:szCs w:val="20"/>
                <w:color w:val="auto"/>
              </w:rPr>
            </w:pPr>
            <w:r>
              <w:rPr>
                <w:rFonts w:ascii="Arial" w:cs="Arial" w:eastAsia="Arial" w:hAnsi="Arial"/>
                <w:sz w:val="14"/>
                <w:szCs w:val="14"/>
                <w:b w:val="1"/>
                <w:bCs w:val="1"/>
                <w:color w:val="auto"/>
              </w:rPr>
              <w:t>(7)</w:t>
            </w:r>
          </w:p>
        </w:tc>
        <w:tc>
          <w:tcPr>
            <w:tcW w:w="7840" w:type="dxa"/>
            <w:vAlign w:val="bottom"/>
          </w:tcPr>
          <w:p>
            <w:pPr>
              <w:ind w:left="280"/>
              <w:spacing w:after="0"/>
              <w:rPr>
                <w:sz w:val="20"/>
                <w:szCs w:val="20"/>
                <w:color w:val="auto"/>
              </w:rPr>
            </w:pPr>
            <w:r>
              <w:rPr>
                <w:rFonts w:ascii="Arial" w:cs="Arial" w:eastAsia="Arial" w:hAnsi="Arial"/>
                <w:sz w:val="14"/>
                <w:szCs w:val="14"/>
                <w:b w:val="1"/>
                <w:bCs w:val="1"/>
                <w:color w:val="auto"/>
              </w:rPr>
              <w:t>Borrowings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87"/>
        </w:trPr>
        <w:tc>
          <w:tcPr>
            <w:tcW w:w="200" w:type="dxa"/>
            <w:vAlign w:val="bottom"/>
          </w:tcPr>
          <w:p>
            <w:pPr>
              <w:spacing w:after="0"/>
              <w:rPr>
                <w:sz w:val="24"/>
                <w:szCs w:val="24"/>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The following table sets forth long-term borrowings as of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r>
      <w:tr>
        <w:trPr>
          <w:trHeight w:val="16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6.5% Senior Notes, due 2025</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r>
      <w:tr>
        <w:trPr>
          <w:trHeight w:val="174"/>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Deferred borrowing charges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(11,838)</w:t>
            </w:r>
          </w:p>
        </w:tc>
      </w:tr>
      <w:tr>
        <w:trPr>
          <w:trHeight w:val="19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740,416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738,162</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committed to retain $300 million of the net proceeds from the issuance of these notes that can be drawn down exclusively for our debt service or to contribute to GMICO to meet its regulatory capital needs. The current balance of the 2025 Senior Notes proceeds required to be held by the holding company is approximately $252 million.</w:t>
      </w:r>
    </w:p>
    <w:p>
      <w:pPr>
        <w:spacing w:after="0" w:line="103" w:lineRule="exact"/>
        <w:rPr>
          <w:sz w:val="20"/>
          <w:szCs w:val="20"/>
          <w:color w:val="auto"/>
        </w:rPr>
      </w:pPr>
    </w:p>
    <w:p>
      <w:pPr>
        <w:ind w:left="480" w:hanging="478"/>
        <w:spacing w:after="0"/>
        <w:tabs>
          <w:tab w:leader="none" w:pos="4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Income before income taxes and change in fair value of unconsolidated affiliate of $695.1 million, $472.4 million and $718.2 million in 2021, 2020 and 2019, respectively, was domestic.</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total provision for income taxes was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federal income taxes</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147,213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89,940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152,748</w:t>
            </w: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federal income taxes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federal income taxes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145,759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99,559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152,186</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Current state income taxes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state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w:t>
            </w:r>
          </w:p>
        </w:tc>
      </w:tr>
      <w:tr>
        <w:trPr>
          <w:trHeight w:val="16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state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3,646</w:t>
            </w: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provision for income taxes</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148,531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101,997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155,832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had current income taxes receivable of $1.1 million and $5.4 million as of December 31, 2021 and 2020.</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paid federal taxes of $143.5 million and state taxes of $2.4 million for the year ended December 31, 2021; federal taxes of $55.4 million and state taxes of $1.6 million for the year ended December 31, 2020; and federal taxes of $166.2 million and state taxes of $0.3 million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4" w:name="page155"/>
    <w:bookmarkEnd w:id="154"/>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reconciliation of the federal statutory tax rate to the effective income tax rate was as follows for the years ended December 31:</w:t>
      </w:r>
    </w:p>
    <w:p>
      <w:pPr>
        <w:spacing w:after="0" w:line="180" w:lineRule="exact"/>
        <w:rPr>
          <w:sz w:val="20"/>
          <w:szCs w:val="20"/>
          <w:color w:val="auto"/>
        </w:rPr>
      </w:pPr>
    </w:p>
    <w:p>
      <w:pPr>
        <w:jc w:val="both"/>
        <w:ind w:left="6860"/>
        <w:spacing w:after="0"/>
        <w:tabs>
          <w:tab w:leader="none" w:pos="8580" w:val="left"/>
          <w:tab w:leader="none" w:pos="1032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r>
        <w:rPr>
          <w:sz w:val="20"/>
          <w:szCs w:val="20"/>
          <w:color w:val="auto"/>
        </w:rPr>
        <w:tab/>
      </w:r>
      <w:r>
        <w:rPr>
          <w:rFonts w:ascii="Arial" w:cs="Arial" w:eastAsia="Arial" w:hAnsi="Arial"/>
          <w:sz w:val="10"/>
          <w:szCs w:val="10"/>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340" cy="1174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5340" cy="11747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Statutory U.S. federal income tax rate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 (reduction) in rate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65340" cy="1104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5340" cy="1104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State income tax, net of federal income tax effect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Other, net </w:t>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65340" cy="1301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5340" cy="130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Effective rate</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40" w:hanging="238"/>
        <w:spacing w:after="0" w:line="220" w:lineRule="auto"/>
        <w:tabs>
          <w:tab w:leader="none" w:pos="240" w:val="left"/>
        </w:tabs>
        <w:numPr>
          <w:ilvl w:val="0"/>
          <w:numId w:val="74"/>
        </w:numPr>
        <w:rPr>
          <w:rFonts w:ascii="Arial" w:cs="Arial" w:eastAsia="Arial" w:hAnsi="Arial"/>
          <w:sz w:val="13"/>
          <w:szCs w:val="13"/>
          <w:color w:val="auto"/>
          <w:vertAlign w:val="superscript"/>
        </w:rPr>
      </w:pPr>
      <w:r>
        <w:rPr>
          <w:rFonts w:ascii="Arial" w:cs="Arial" w:eastAsia="Arial" w:hAnsi="Arial"/>
          <w:sz w:val="10"/>
          <w:szCs w:val="10"/>
          <w:color w:val="auto"/>
        </w:rPr>
        <w:t>“Other, net” is comprised primarily nondeductible expenses offset by prior year true-ups and tax exempt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Pr>
          <w:p>
            <w:pPr>
              <w:spacing w:after="0"/>
              <w:rPr>
                <w:sz w:val="14"/>
                <w:szCs w:val="14"/>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r>
      <w:tr>
        <w:trPr>
          <w:trHeight w:val="349"/>
        </w:trPr>
        <w:tc>
          <w:tcPr>
            <w:tcW w:w="164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64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1660" w:type="dxa"/>
            <w:vAlign w:val="bottom"/>
          </w:tcPr>
          <w:p>
            <w:pPr>
              <w:jc w:val="right"/>
              <w:ind w:right="112"/>
              <w:spacing w:after="0"/>
              <w:rPr>
                <w:sz w:val="20"/>
                <w:szCs w:val="20"/>
                <w:color w:val="auto"/>
              </w:rPr>
            </w:pPr>
            <w:r>
              <w:rPr>
                <w:rFonts w:ascii="Arial" w:cs="Arial" w:eastAsia="Arial" w:hAnsi="Arial"/>
                <w:sz w:val="14"/>
                <w:szCs w:val="14"/>
                <w:color w:val="auto"/>
              </w:rPr>
              <w:t>0.4</w:t>
            </w:r>
          </w:p>
        </w:tc>
      </w:tr>
      <w:tr>
        <w:trPr>
          <w:trHeight w:val="175"/>
        </w:trPr>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0.3</w:t>
            </w:r>
          </w:p>
        </w:tc>
      </w:tr>
      <w:tr>
        <w:trPr>
          <w:trHeight w:val="165"/>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21.4 %</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21.6 %</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21.7 %</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40" w:lineRule="exact"/>
        <w:rPr>
          <w:sz w:val="20"/>
          <w:szCs w:val="20"/>
          <w:color w:val="auto"/>
        </w:rPr>
      </w:pPr>
    </w:p>
    <w:p>
      <w:pPr>
        <w:sectPr>
          <w:pgSz w:w="11900" w:h="16838" w:orient="portrait"/>
          <w:cols w:equalWidth="0" w:num="2">
            <w:col w:w="5640" w:space="520"/>
            <w:col w:w="5120"/>
          </w:cols>
          <w:pgMar w:left="300" w:top="205" w:right="319" w:bottom="1440" w:gutter="0" w:footer="0" w:header="0"/>
          <w:type w:val="continuous"/>
        </w:sectPr>
      </w:pPr>
    </w:p>
    <w:p>
      <w:pPr>
        <w:ind w:left="240"/>
        <w:spacing w:after="0"/>
        <w:rPr>
          <w:sz w:val="20"/>
          <w:szCs w:val="20"/>
          <w:color w:val="auto"/>
        </w:rPr>
      </w:pPr>
      <w:r>
        <w:rPr>
          <w:rFonts w:ascii="Arial" w:cs="Arial" w:eastAsia="Arial" w:hAnsi="Arial"/>
          <w:sz w:val="14"/>
          <w:szCs w:val="14"/>
          <w:color w:val="auto"/>
        </w:rPr>
        <w:t>The components of the deferred income taxes were as follows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r>
      <w:tr>
        <w:trPr>
          <w:trHeight w:val="154"/>
        </w:trPr>
        <w:tc>
          <w:tcPr>
            <w:tcW w:w="8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Accrued commissions and general expenses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8,670</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6,813</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loss carry forwards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Unearned premium and loss reserves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36,917</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income taxes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w:t>
            </w: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deferred income tax assets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52,017</w:t>
            </w: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(6,443)</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income tax assets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48,390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45,574</w:t>
            </w:r>
          </w:p>
        </w:tc>
      </w:tr>
      <w:tr>
        <w:trPr>
          <w:trHeight w:val="154"/>
        </w:trPr>
        <w:tc>
          <w:tcPr>
            <w:tcW w:w="80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Liabilities: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acquisition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w:t>
            </w: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Net unrealized gains on investment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22,577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56,302</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17,937</w:t>
            </w: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income tax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49,976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82,385</w:t>
            </w:r>
          </w:p>
        </w:tc>
      </w:tr>
      <w:tr>
        <w:trPr>
          <w:trHeight w:val="165"/>
        </w:trPr>
        <w:tc>
          <w:tcPr>
            <w:tcW w:w="8040" w:type="dxa"/>
            <w:vAlign w:val="bottom"/>
          </w:tcPr>
          <w:p>
            <w:pPr>
              <w:ind w:left="20"/>
              <w:spacing w:after="0"/>
              <w:rPr>
                <w:sz w:val="20"/>
                <w:szCs w:val="20"/>
                <w:color w:val="auto"/>
              </w:rPr>
            </w:pPr>
            <w:r>
              <w:rPr>
                <w:rFonts w:ascii="Arial" w:cs="Arial" w:eastAsia="Arial" w:hAnsi="Arial"/>
                <w:sz w:val="14"/>
                <w:szCs w:val="14"/>
                <w:color w:val="auto"/>
              </w:rPr>
              <w:t>Net deferred income tax asset (liability)</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(36,811)</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above valuation allowance of $6.3 million and $6.4 million as of December 31, 2021 and 2020, respectively, related to state deferred tax assets. The state deferred tax assets related primarily to the future deductions associated with non-insurance and insurance net operating loss (“NOL”) carryforwards.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of December 31, 2021, there were no U.S. federal NOL carryforwards.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was no unrecognized tax benefits as of December 31, 2021 and 2020.</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We recognize accrued interest and penalties related to unrecognized tax benefits as components of the provision for income taxes. We have recorded $0 of benefits related to interest and penalties for 2021, 2020 and 2019.</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As previously discussed, we have elected to participate in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With possible exceptions, we are no longer subject to U.S. federal tax examinations for years through 2017. Any exposure with respect to these pre-2018 years has been sufficiently recorded in the financial statements. Potential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type w:val="continuous"/>
        </w:sectPr>
      </w:pPr>
    </w:p>
    <w:bookmarkStart w:id="155" w:name="page156"/>
    <w:bookmarkEnd w:id="155"/>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and local examinations for those years are generally restricted to results that are based on closed U.S. federal examinations.</w:t>
      </w:r>
    </w:p>
    <w:p>
      <w:pPr>
        <w:spacing w:after="0" w:line="12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are part of the 2021 Amended and Restated Tax Allocation Agreement “TAA” between Genworth and certain of our subsidiaries. The TAA was approved by state insurance regulators and our Board of Directors. The tax allocation methodology is based on the separate return liabilities with offsets for losses and credits utilized to reduce the current consolidated tax liability as allowed by applicable law and regulation. Our policy is to settle intercompany tax balances quarterly, with a final settlement after filing of Genworth’s federal consolidated U.S. corporate income tax return.</w:t>
      </w:r>
    </w:p>
    <w:p>
      <w:pPr>
        <w:spacing w:after="0" w:line="12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Additionally, Genworth Mortgage Insurance Corporation, Enact Mortgage Reinsurance Corporation, Genworth Mortgage Insurance Corporation of North Carolina and Enact Financial Assurance Corporation (collectively, the “MI Group”), were parties to a supplemental tax sharing agreement that allowed them to accelerate the utilization of benefits as if they filed a stand-alone MI Group federal income tax return, even if those benefits had not been utilized in the consolidated federal return (“deemed used losses”). If any deemed used losses are subsequently actually used in a consolidated return, the members of the MI Group which received the benefit for such deemed used losses would not receive a second benefit for such losses. Also, if any member of the MI Group received benefit for any deemed used losses and leaves the consolidated group before such deemed used losses are actually used in a consolidated return, such member will repay such benefit received. Any benefits generated by the MI Group after January 1, 2021 will follow the TAA mentioned above, which does not allow for an acceleration when utilizing benefits.</w:t>
      </w:r>
    </w:p>
    <w:p>
      <w:pPr>
        <w:spacing w:after="0" w:line="12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Separate Return Method</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If during the year ended December 31, 2021, we had computed taxes using the separate return method, the unaudited pro forma provision for income taxes would remain unchanged.</w:t>
      </w:r>
    </w:p>
    <w:p>
      <w:pPr>
        <w:spacing w:after="0" w:line="122" w:lineRule="exact"/>
        <w:rPr>
          <w:sz w:val="20"/>
          <w:szCs w:val="20"/>
          <w:color w:val="auto"/>
        </w:rPr>
      </w:pPr>
    </w:p>
    <w:p>
      <w:pPr>
        <w:ind w:left="480" w:hanging="478"/>
        <w:spacing w:after="0"/>
        <w:tabs>
          <w:tab w:leader="none" w:pos="48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As a consolidated company within Genworth, our employees are generally provided a number of Genworth employee benefits. Genworth, as sponsor of the plans described below (collectively, “Shared Plans”), is ultimately responsible for maintenance of these plans in compliance with applicable laws. Our obligation results from an allocation of our share of expenses from Genworth’s plans based on benefits eligible earnings. Benefits eligible earnings includes base pay, overtime, annual incentives and sales commissions.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Pension and Retiree Health and Life Insurance Benefit Plans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$2.1 million in 2021, and $2.7 million in 2020 and 2019.</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addition, certain employees also participate in non-qualified defined contribution plans and qualified and non-qualified defined benefit pension plans sponsored by Genworth. Expenses associated with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6" w:name="page157"/>
    <w:bookmarkEnd w:id="156"/>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qualified defined contribution plans were $1.0 million, $0.8 million and $0.6 million for 2021, 2020 and 2019, respectively. Expenses allocated to us for qualified and non-qualified defined benefit pension plans were $0.4 million in 2021, and $0.3 million in 2020 and 2019.</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Genworth provides retiree health benefits to our employees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were within 10 years of retirement eligibility as of January 1, 2010. Genworth also provides retiree life and long-term care insurance benefits. Expenses allocated to us for retiree health and life insurance benefits plans were $0.5 million, $0.5 million and $0.6 million for the years ended 2021, 2020 and 2019, respectively.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Savings Plans</w:t>
      </w:r>
    </w:p>
    <w:p>
      <w:pPr>
        <w:spacing w:after="0" w:line="142" w:lineRule="exact"/>
        <w:rPr>
          <w:sz w:val="20"/>
          <w:szCs w:val="20"/>
          <w:color w:val="auto"/>
        </w:rPr>
      </w:pPr>
    </w:p>
    <w:p>
      <w:pPr>
        <w:jc w:val="both"/>
        <w:ind w:firstLine="246"/>
        <w:spacing w:after="0" w:line="234" w:lineRule="auto"/>
        <w:rPr>
          <w:sz w:val="20"/>
          <w:szCs w:val="20"/>
          <w:color w:val="auto"/>
        </w:rPr>
      </w:pPr>
      <w:r>
        <w:rPr>
          <w:rFonts w:ascii="Arial" w:cs="Arial" w:eastAsia="Arial" w:hAnsi="Arial"/>
          <w:sz w:val="14"/>
          <w:szCs w:val="14"/>
          <w:color w:val="auto"/>
        </w:rPr>
        <w:t>Our employees participate in qualified and non-qualified defined contribution savings plans that allow employees to contribute a portion of their pay to the plan on a pre-tax basis. Genworth makes matching contributions equal to 100% of the first 4% of pay deferred by an employee and 50% of the next 2% of pay deferred by an employee so that our matching contribution does not exceed 5% of an employee’s pay. Employees do not vest immediately in Genworth matching contributions but fully vest in the matching contributions after two complete years of service. One option available to employees in the defined contribution savings plan is the ClearCourse</w:t>
      </w:r>
      <w:r>
        <w:rPr>
          <w:rFonts w:ascii="Arial" w:cs="Arial" w:eastAsia="Arial" w:hAnsi="Arial"/>
          <w:sz w:val="17"/>
          <w:szCs w:val="17"/>
          <w:color w:val="auto"/>
          <w:vertAlign w:val="superscript"/>
        </w:rPr>
        <w:t>®</w:t>
      </w:r>
      <w:r>
        <w:rPr>
          <w:rFonts w:ascii="Arial" w:cs="Arial" w:eastAsia="Arial" w:hAnsi="Arial"/>
          <w:sz w:val="14"/>
          <w:szCs w:val="14"/>
          <w:color w:val="auto"/>
        </w:rPr>
        <w:t xml:space="preserve"> variable annuity option offered by certain of Genworth’s life insurance subsidiaries.</w:t>
      </w:r>
    </w:p>
    <w:p>
      <w:pPr>
        <w:spacing w:after="0" w:line="125"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Prior to January 2021, employees also had the option of purchasing a fund which invests primarily in Genworth stock as part of the defined contribution savings plan. Several years ago, Genworth had contracted with Newport Trust Company (“Newport”) to act as an independent fiduciary and investment manager with respect to Genworth stock in the defined contribution savings plan. The independent fiduciary’s role is to act on behalf of a plan to protect the interests of participants and beneficiaries. As part of its on-going process, on January 8, 2021, Newport froze the fund and accordingly, future investments or transfers into the fund are no longer permitted.</w:t>
      </w:r>
    </w:p>
    <w:p>
      <w:pPr>
        <w:spacing w:after="0" w:line="120" w:lineRule="exact"/>
        <w:rPr>
          <w:sz w:val="20"/>
          <w:szCs w:val="20"/>
          <w:color w:val="auto"/>
        </w:rPr>
      </w:pPr>
    </w:p>
    <w:p>
      <w:pPr>
        <w:ind w:left="240" w:right="1760"/>
        <w:spacing w:after="0" w:line="428" w:lineRule="auto"/>
        <w:rPr>
          <w:sz w:val="20"/>
          <w:szCs w:val="20"/>
          <w:color w:val="auto"/>
        </w:rPr>
      </w:pPr>
      <w:r>
        <w:rPr>
          <w:rFonts w:ascii="Arial" w:cs="Arial" w:eastAsia="Arial" w:hAnsi="Arial"/>
          <w:sz w:val="14"/>
          <w:szCs w:val="14"/>
          <w:color w:val="auto"/>
        </w:rPr>
        <w:t xml:space="preserve">Our cost associated with these plans was $3.4 million, $3.2 million and $3.1 million for the years ended December 31, 2021, 2020 and 2019, respectively. </w:t>
      </w:r>
      <w:r>
        <w:rPr>
          <w:rFonts w:ascii="Arial" w:cs="Arial" w:eastAsia="Arial" w:hAnsi="Arial"/>
          <w:sz w:val="14"/>
          <w:szCs w:val="14"/>
          <w:b w:val="1"/>
          <w:bCs w:val="1"/>
          <w:i w:val="1"/>
          <w:iCs w:val="1"/>
          <w:color w:val="auto"/>
        </w:rPr>
        <w:t>Health and Welfare Benefits for Active Employees</w:t>
      </w:r>
    </w:p>
    <w:p>
      <w:pPr>
        <w:jc w:val="both"/>
        <w:ind w:firstLine="246"/>
        <w:spacing w:after="0" w:line="248" w:lineRule="auto"/>
        <w:rPr>
          <w:sz w:val="20"/>
          <w:szCs w:val="20"/>
          <w:color w:val="auto"/>
        </w:rPr>
      </w:pPr>
      <w:r>
        <w:rPr>
          <w:rFonts w:ascii="Arial" w:cs="Arial" w:eastAsia="Arial" w:hAnsi="Arial"/>
          <w:sz w:val="14"/>
          <w:szCs w:val="14"/>
          <w:color w:val="auto"/>
        </w:rPr>
        <w:t>We provide health and welfare benefits to our employees, including health, life, disability dental and long-term care insurance, among others. Our long-term care insurance is provided through Genworth’s long-term care insurance products.</w:t>
      </w:r>
    </w:p>
    <w:p>
      <w:pPr>
        <w:spacing w:after="0" w:line="103" w:lineRule="exact"/>
        <w:rPr>
          <w:sz w:val="20"/>
          <w:szCs w:val="20"/>
          <w:color w:val="auto"/>
        </w:rPr>
      </w:pPr>
    </w:p>
    <w:p>
      <w:pPr>
        <w:ind w:left="500" w:hanging="498"/>
        <w:spacing w:after="0"/>
        <w:tabs>
          <w:tab w:leader="none" w:pos="50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Share based compensation</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EHI share based compensation</w:t>
      </w:r>
    </w:p>
    <w:p>
      <w:pPr>
        <w:spacing w:after="0" w:line="14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connection with our initial public offering in 2021, share based awards were granted to employees and directors including restricted stock units (“RSUs”) for employees and deferred stock units (“DSUs) to directors. In 2021 Enact Holdings, Inc. 2021 Omnibus Incentive Plan (the “2021 Omnibus Plan”) was adopted and approved by EHI’s stockholders. Under the 2021 Omnibus incentive Plan, EHI was authorized to grant a maximum number of shares of Common Stock for issuance not to exceed 4 million shares.</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Share-based compensation expense under the 2021 Omnibus Plan was $1.5 million, for the year ended December 31, 2021 and was included with acquisition and operating expenses, net of deferrals in the consolidated statement of income. Stock-based compensation expense was recognized evenly on a straight-line attribution method over the awards’ respective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7" w:name="page158"/>
    <w:bookmarkEnd w:id="157"/>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During 2021, the Company issued RSUs to our employees with average restriction periods of three years, with a fair value of $19.00 and $21.17, which were measured at the market price of a share of the Company’s Class A Common Stock on the grant date.</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In connection with our special cash dividend paid in the fourth quarter of 2021, dividend equivalent shares were issued to RSU and DSU holders as of the dividend date. The grant date fair value was $21.25 per share, or $0.8 million, which was paid in December 2021. The declaration and payment of future dividends to holders of our common stock will be at the discretion of our board of directors.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the status of the equity-based awards as of December 31, 2021:</w:t>
      </w:r>
    </w:p>
    <w:p>
      <w:pPr>
        <w:spacing w:after="0" w:line="200" w:lineRule="exact"/>
        <w:rPr>
          <w:sz w:val="20"/>
          <w:szCs w:val="20"/>
          <w:color w:val="auto"/>
        </w:rPr>
      </w:pPr>
    </w:p>
    <w:p>
      <w:pPr>
        <w:spacing w:after="0" w:line="257" w:lineRule="exact"/>
        <w:rPr>
          <w:sz w:val="20"/>
          <w:szCs w:val="20"/>
          <w:color w:val="auto"/>
        </w:rPr>
      </w:pPr>
    </w:p>
    <w:tbl>
      <w:tblPr>
        <w:tblLayout w:type="fixed"/>
        <w:tblInd w:w="24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RSUs</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DSUs</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580" w:type="dxa"/>
            <w:vAlign w:val="bottom"/>
          </w:tcPr>
          <w:p>
            <w:pPr>
              <w:spacing w:after="0"/>
              <w:rPr>
                <w:sz w:val="8"/>
                <w:szCs w:val="8"/>
                <w:color w:val="auto"/>
              </w:rPr>
            </w:pPr>
          </w:p>
        </w:tc>
        <w:tc>
          <w:tcPr>
            <w:tcW w:w="1200" w:type="dxa"/>
            <w:vAlign w:val="bottom"/>
            <w:vMerge w:val="restart"/>
          </w:tcPr>
          <w:p>
            <w:pPr>
              <w:jc w:val="center"/>
              <w:ind w:left="177"/>
              <w:spacing w:after="0"/>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gridSpan w:val="2"/>
          </w:tcPr>
          <w:p>
            <w:pPr>
              <w:jc w:val="center"/>
              <w:ind w:right="300"/>
              <w:spacing w:after="0" w:line="103" w:lineRule="exact"/>
              <w:rPr>
                <w:sz w:val="20"/>
                <w:szCs w:val="20"/>
                <w:color w:val="auto"/>
              </w:rPr>
            </w:pPr>
            <w:r>
              <w:rPr>
                <w:rFonts w:ascii="Arial" w:cs="Arial" w:eastAsia="Arial" w:hAnsi="Arial"/>
                <w:sz w:val="11"/>
                <w:szCs w:val="11"/>
                <w:b w:val="1"/>
                <w:bCs w:val="1"/>
                <w:color w:val="auto"/>
                <w:w w:val="97"/>
              </w:rPr>
              <w:t>Weighted-</w:t>
            </w:r>
          </w:p>
        </w:tc>
        <w:tc>
          <w:tcPr>
            <w:tcW w:w="1060" w:type="dxa"/>
            <w:vAlign w:val="bottom"/>
            <w:vMerge w:val="restart"/>
          </w:tcPr>
          <w:p>
            <w:pPr>
              <w:jc w:val="center"/>
              <w:ind w:left="177"/>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jc w:val="center"/>
              <w:ind w:right="138"/>
              <w:spacing w:after="0" w:line="103" w:lineRule="exact"/>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103"/>
        </w:trPr>
        <w:tc>
          <w:tcPr>
            <w:tcW w:w="55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gridSpan w:val="2"/>
          </w:tcPr>
          <w:p>
            <w:pPr>
              <w:jc w:val="center"/>
              <w:ind w:right="300"/>
              <w:spacing w:after="0" w:line="103" w:lineRule="exact"/>
              <w:rPr>
                <w:sz w:val="20"/>
                <w:szCs w:val="20"/>
                <w:color w:val="auto"/>
              </w:rPr>
            </w:pPr>
            <w:r>
              <w:rPr>
                <w:rFonts w:ascii="Arial" w:cs="Arial" w:eastAsia="Arial" w:hAnsi="Arial"/>
                <w:sz w:val="11"/>
                <w:szCs w:val="11"/>
                <w:b w:val="1"/>
                <w:bCs w:val="1"/>
                <w:color w:val="auto"/>
                <w:w w:val="96"/>
              </w:rPr>
              <w:t>average</w:t>
            </w: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jc w:val="center"/>
              <w:ind w:right="138"/>
              <w:spacing w:after="0" w:line="103"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03"/>
        </w:trPr>
        <w:tc>
          <w:tcPr>
            <w:tcW w:w="55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Awards in thousands</w:t>
            </w:r>
          </w:p>
        </w:tc>
        <w:tc>
          <w:tcPr>
            <w:tcW w:w="1200" w:type="dxa"/>
            <w:vAlign w:val="bottom"/>
          </w:tcPr>
          <w:p>
            <w:pPr>
              <w:jc w:val="center"/>
              <w:ind w:left="197"/>
              <w:spacing w:after="0" w:line="103"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gridSpan w:val="2"/>
          </w:tcPr>
          <w:p>
            <w:pPr>
              <w:jc w:val="center"/>
              <w:ind w:right="300"/>
              <w:spacing w:after="0" w:line="103" w:lineRule="exact"/>
              <w:rPr>
                <w:sz w:val="20"/>
                <w:szCs w:val="20"/>
                <w:color w:val="auto"/>
              </w:rPr>
            </w:pPr>
            <w:r>
              <w:rPr>
                <w:rFonts w:ascii="Arial" w:cs="Arial" w:eastAsia="Arial" w:hAnsi="Arial"/>
                <w:sz w:val="11"/>
                <w:szCs w:val="11"/>
                <w:b w:val="1"/>
                <w:bCs w:val="1"/>
                <w:color w:val="auto"/>
                <w:w w:val="97"/>
              </w:rPr>
              <w:t>grant date</w:t>
            </w:r>
          </w:p>
        </w:tc>
        <w:tc>
          <w:tcPr>
            <w:tcW w:w="1060" w:type="dxa"/>
            <w:vAlign w:val="bottom"/>
          </w:tcPr>
          <w:p>
            <w:pPr>
              <w:jc w:val="center"/>
              <w:ind w:left="177"/>
              <w:spacing w:after="0" w:line="103"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jc w:val="center"/>
              <w:ind w:right="138"/>
              <w:spacing w:after="0" w:line="103" w:lineRule="exact"/>
              <w:rPr>
                <w:sz w:val="20"/>
                <w:szCs w:val="20"/>
                <w:color w:val="auto"/>
              </w:rPr>
            </w:pPr>
            <w:r>
              <w:rPr>
                <w:rFonts w:ascii="Arial" w:cs="Arial" w:eastAsia="Arial" w:hAnsi="Arial"/>
                <w:sz w:val="11"/>
                <w:szCs w:val="11"/>
                <w:b w:val="1"/>
                <w:bCs w:val="1"/>
                <w:color w:val="auto"/>
                <w:w w:val="97"/>
              </w:rPr>
              <w:t>grant date</w:t>
            </w:r>
          </w:p>
        </w:tc>
        <w:tc>
          <w:tcPr>
            <w:tcW w:w="0" w:type="dxa"/>
            <w:vAlign w:val="bottom"/>
          </w:tcPr>
          <w:p>
            <w:pPr>
              <w:spacing w:after="0"/>
              <w:rPr>
                <w:sz w:val="1"/>
                <w:szCs w:val="1"/>
                <w:color w:val="auto"/>
              </w:rPr>
            </w:pPr>
          </w:p>
        </w:tc>
      </w:tr>
      <w:tr>
        <w:trPr>
          <w:trHeight w:val="133"/>
        </w:trPr>
        <w:tc>
          <w:tcPr>
            <w:tcW w:w="5580" w:type="dxa"/>
            <w:vAlign w:val="bottom"/>
            <w:vMerge w:val="continue"/>
          </w:tcPr>
          <w:p>
            <w:pPr>
              <w:spacing w:after="0"/>
              <w:rPr>
                <w:sz w:val="11"/>
                <w:szCs w:val="11"/>
                <w:color w:val="auto"/>
              </w:rPr>
            </w:pPr>
          </w:p>
        </w:tc>
        <w:tc>
          <w:tcPr>
            <w:tcW w:w="1200" w:type="dxa"/>
            <w:vAlign w:val="bottom"/>
          </w:tcPr>
          <w:p>
            <w:pPr>
              <w:jc w:val="center"/>
              <w:ind w:left="197"/>
              <w:spacing w:after="0"/>
              <w:rPr>
                <w:sz w:val="20"/>
                <w:szCs w:val="20"/>
                <w:color w:val="auto"/>
              </w:rPr>
            </w:pPr>
            <w:r>
              <w:rPr>
                <w:rFonts w:ascii="Arial" w:cs="Arial" w:eastAsia="Arial" w:hAnsi="Arial"/>
                <w:sz w:val="11"/>
                <w:szCs w:val="11"/>
                <w:b w:val="1"/>
                <w:bCs w:val="1"/>
                <w:color w:val="auto"/>
              </w:rPr>
              <w:t>awards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fair value</w:t>
            </w:r>
          </w:p>
        </w:tc>
        <w:tc>
          <w:tcPr>
            <w:tcW w:w="1060" w:type="dxa"/>
            <w:vAlign w:val="bottom"/>
          </w:tcPr>
          <w:p>
            <w:pPr>
              <w:jc w:val="center"/>
              <w:ind w:left="177"/>
              <w:spacing w:after="0"/>
              <w:rPr>
                <w:sz w:val="20"/>
                <w:szCs w:val="20"/>
                <w:color w:val="auto"/>
              </w:rPr>
            </w:pPr>
            <w:r>
              <w:rPr>
                <w:rFonts w:ascii="Arial" w:cs="Arial" w:eastAsia="Arial" w:hAnsi="Arial"/>
                <w:sz w:val="11"/>
                <w:szCs w:val="11"/>
                <w:b w:val="1"/>
                <w:bCs w:val="1"/>
                <w:color w:val="auto"/>
              </w:rPr>
              <w:t>awards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jc w:val="center"/>
              <w:ind w:right="138"/>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65"/>
        </w:trPr>
        <w:tc>
          <w:tcPr>
            <w:tcW w:w="55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Balance as of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5580" w:type="dxa"/>
            <w:vAlign w:val="bottom"/>
          </w:tcPr>
          <w:p>
            <w:pPr>
              <w:ind w:left="260"/>
              <w:spacing w:after="0"/>
              <w:rPr>
                <w:sz w:val="20"/>
                <w:szCs w:val="20"/>
                <w:color w:val="auto"/>
              </w:rPr>
            </w:pPr>
            <w:r>
              <w:rPr>
                <w:rFonts w:ascii="Arial" w:cs="Arial" w:eastAsia="Arial" w:hAnsi="Arial"/>
                <w:sz w:val="14"/>
                <w:szCs w:val="14"/>
                <w:color w:val="auto"/>
              </w:rPr>
              <w:t>Granted</w:t>
            </w:r>
          </w:p>
        </w:tc>
        <w:tc>
          <w:tcPr>
            <w:tcW w:w="1200" w:type="dxa"/>
            <w:vAlign w:val="bottom"/>
          </w:tcPr>
          <w:p>
            <w:pPr>
              <w:jc w:val="right"/>
              <w:spacing w:after="0"/>
              <w:rPr>
                <w:sz w:val="20"/>
                <w:szCs w:val="20"/>
                <w:color w:val="auto"/>
              </w:rPr>
            </w:pPr>
            <w:r>
              <w:rPr>
                <w:rFonts w:ascii="Arial" w:cs="Arial" w:eastAsia="Arial" w:hAnsi="Arial"/>
                <w:sz w:val="14"/>
                <w:szCs w:val="14"/>
                <w:color w:val="auto"/>
              </w:rPr>
              <w:t>628</w:t>
            </w:r>
          </w:p>
        </w:tc>
        <w:tc>
          <w:tcPr>
            <w:tcW w:w="54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19.02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52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Dividend equivalents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54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5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Terminated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540" w:type="dxa"/>
            <w:vAlign w:val="bottom"/>
            <w:tcBorders>
              <w:bottom w:val="single" w:sz="8" w:color="CCEEFF"/>
            </w:tcBorders>
            <w:gridSpan w:val="2"/>
          </w:tcPr>
          <w:p>
            <w:pPr>
              <w:jc w:val="right"/>
              <w:ind w:right="5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tcPr>
          <w:p>
            <w:pPr>
              <w:jc w:val="right"/>
              <w:ind w:right="3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Balance as of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654</w:t>
            </w:r>
          </w:p>
        </w:tc>
        <w:tc>
          <w:tcPr>
            <w:tcW w:w="5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19.02</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5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As of December 31, 2021, total unrecognized share-based compensation expense related to non-vested awards not yet recognized was $11.0 million. This expense is expected to be recognized over a weighted-average period of approximately three years.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Genworth share based compensation</w:t>
      </w:r>
    </w:p>
    <w:p>
      <w:pPr>
        <w:spacing w:after="0" w:line="140"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Prior to May 2012, share-based awards were granted to employees and directors, including stock options, stock appreciation rights (“SARs”) and RSUs under the 2004 Genworth Financial, Inc. Omnibus Incentive Plan (the “2004 Omnibus Incentive Plan”). In May 2012, the 2012 Genworth Financial, Inc. Omnibus Incentive Plan (the “2012 Omnibus Incentive Plan”) was approved by Genworth’s stockholders. Under the 2012 Omnibus Incentive Plan, Genworth was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Genworth’s stockholders. Under the 2018 Omnibus Incentive Plan, Genworth is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2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Share-based compensation expense under the Omnibus Incentive Plans was $5.5 million, $4.4 million and $2.9 million for the years ended December 31, 2021, 2020 and 2019, respectively, and was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20"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For purposes of determining the fair value of share-based payment awards on the date of grant, Genworth has historically used the Black-Scholes Model. However, no SARs or stock options were granted during 2021, 2020 or 2019 and therefore the Black-Scholes Model was not used in those respective years. The Black-Scholes Model requires the input of certain assumptions that involve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8" w:name="page159"/>
    <w:bookmarkEnd w:id="158"/>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judgment. Circumstances may change, and additional data may become available over time, which could result in changes to these assumptions and methodologies.</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During 2021, 2020 and 2019, Genworth issued RSUs to our employees with average restriction periods of three years, with a fair value of $3.31, $3.53 and $3.36, respectively, which were measured at the market price of a share of Genworth’s Class A Common Stock on the grant date.</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During 2021, 2020 and 2019,we granted performance stock units (“PSUs”) with a weighted-average fair value of $3.45, $3.03 and $4.61, respectively. The PSUs were granted at market price as of the approval date by Genworth’s Board of Directors. PSUs may be earned over a three-year period based upon the achievement of certain performance goals.</w:t>
      </w:r>
    </w:p>
    <w:p>
      <w:pPr>
        <w:spacing w:after="0" w:line="119"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PSUs granted in 2021 have a three-year measurement period starting on January 1, 2021, going through December 31, 2023. The performance metrics are based on Genworth’s consolidated adjusted operating income and its stockholder return relative to certain of its peer companies as of the grant date. The grant-date fair value for the adjusted operating income performance measure was $3.31. The grant date fair value for total relative stockholder return performance metric was $4.18, which was calculated using the Monte Carlo simulation with the following valuation assumptions.</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64"/>
        </w:trPr>
        <w:tc>
          <w:tcPr>
            <w:tcW w:w="4340" w:type="dxa"/>
            <w:vAlign w:val="bottom"/>
          </w:tcPr>
          <w:p>
            <w:pPr>
              <w:ind w:left="260"/>
              <w:spacing w:after="0"/>
              <w:rPr>
                <w:sz w:val="20"/>
                <w:szCs w:val="20"/>
                <w:color w:val="auto"/>
              </w:rPr>
            </w:pPr>
            <w:r>
              <w:rPr>
                <w:rFonts w:ascii="Arial" w:cs="Arial" w:eastAsia="Arial" w:hAnsi="Arial"/>
                <w:sz w:val="14"/>
                <w:szCs w:val="14"/>
                <w:color w:val="auto"/>
              </w:rPr>
              <w:t>Valuation assumptions:</w:t>
            </w:r>
          </w:p>
        </w:tc>
        <w:tc>
          <w:tcPr>
            <w:tcW w:w="3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2"/>
        </w:trPr>
        <w:tc>
          <w:tcPr>
            <w:tcW w:w="4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4"/>
        </w:trPr>
        <w:tc>
          <w:tcPr>
            <w:tcW w:w="43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Valuation-Date Stock Price</w:t>
            </w:r>
          </w:p>
        </w:tc>
        <w:tc>
          <w:tcPr>
            <w:tcW w:w="3260" w:type="dxa"/>
            <w:vAlign w:val="bottom"/>
            <w:shd w:val="clear" w:color="auto" w:fill="CCEEFF"/>
          </w:tcPr>
          <w:p>
            <w:pPr>
              <w:jc w:val="right"/>
              <w:ind w:right="1012"/>
              <w:spacing w:after="0"/>
              <w:rPr>
                <w:sz w:val="20"/>
                <w:szCs w:val="20"/>
                <w:color w:val="auto"/>
              </w:rPr>
            </w:pPr>
            <w:r>
              <w:rPr>
                <w:rFonts w:ascii="Arial" w:cs="Arial" w:eastAsia="Arial" w:hAnsi="Arial"/>
                <w:sz w:val="14"/>
                <w:szCs w:val="14"/>
                <w:color w:val="auto"/>
              </w:rPr>
              <w:t>$</w:t>
            </w: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3.31</w:t>
            </w:r>
          </w:p>
        </w:tc>
        <w:tc>
          <w:tcPr>
            <w:tcW w:w="280" w:type="dxa"/>
            <w:vAlign w:val="bottom"/>
            <w:shd w:val="clear" w:color="auto" w:fill="CCEEFF"/>
          </w:tcPr>
          <w:p>
            <w:pPr>
              <w:spacing w:after="0"/>
              <w:rPr>
                <w:sz w:val="15"/>
                <w:szCs w:val="15"/>
                <w:color w:val="auto"/>
              </w:rPr>
            </w:pPr>
          </w:p>
        </w:tc>
      </w:tr>
      <w:tr>
        <w:trPr>
          <w:trHeight w:val="174"/>
        </w:trPr>
        <w:tc>
          <w:tcPr>
            <w:tcW w:w="4340" w:type="dxa"/>
            <w:vAlign w:val="bottom"/>
          </w:tcPr>
          <w:p>
            <w:pPr>
              <w:ind w:left="600"/>
              <w:spacing w:after="0"/>
              <w:rPr>
                <w:sz w:val="20"/>
                <w:szCs w:val="20"/>
                <w:color w:val="auto"/>
              </w:rPr>
            </w:pPr>
            <w:r>
              <w:rPr>
                <w:rFonts w:ascii="Arial" w:cs="Arial" w:eastAsia="Arial" w:hAnsi="Arial"/>
                <w:sz w:val="14"/>
                <w:szCs w:val="14"/>
                <w:color w:val="auto"/>
              </w:rPr>
              <w:t>Volatility</w:t>
            </w:r>
          </w:p>
        </w:tc>
        <w:tc>
          <w:tcPr>
            <w:tcW w:w="3260" w:type="dxa"/>
            <w:vAlign w:val="bottom"/>
          </w:tcPr>
          <w:p>
            <w:pPr>
              <w:spacing w:after="0"/>
              <w:rPr>
                <w:sz w:val="15"/>
                <w:szCs w:val="15"/>
                <w:color w:val="auto"/>
              </w:rPr>
            </w:pPr>
          </w:p>
        </w:tc>
        <w:tc>
          <w:tcPr>
            <w:tcW w:w="2880" w:type="dxa"/>
            <w:vAlign w:val="bottom"/>
          </w:tcPr>
          <w:p>
            <w:pPr>
              <w:jc w:val="right"/>
              <w:ind w:right="72"/>
              <w:spacing w:after="0"/>
              <w:rPr>
                <w:sz w:val="20"/>
                <w:szCs w:val="20"/>
                <w:color w:val="auto"/>
              </w:rPr>
            </w:pPr>
            <w:r>
              <w:rPr>
                <w:rFonts w:ascii="Arial" w:cs="Arial" w:eastAsia="Arial" w:hAnsi="Arial"/>
                <w:sz w:val="14"/>
                <w:szCs w:val="14"/>
                <w:color w:val="auto"/>
              </w:rPr>
              <w:t>65.0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3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Dividends Yield</w:t>
            </w:r>
          </w:p>
        </w:tc>
        <w:tc>
          <w:tcPr>
            <w:tcW w:w="3260" w:type="dxa"/>
            <w:vAlign w:val="bottom"/>
            <w:shd w:val="clear" w:color="auto" w:fill="CCEEFF"/>
          </w:tcPr>
          <w:p>
            <w:pPr>
              <w:spacing w:after="0"/>
              <w:rPr>
                <w:sz w:val="15"/>
                <w:szCs w:val="15"/>
                <w:color w:val="auto"/>
              </w:rPr>
            </w:pP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4340" w:type="dxa"/>
            <w:vAlign w:val="bottom"/>
          </w:tcPr>
          <w:p>
            <w:pPr>
              <w:ind w:left="600"/>
              <w:spacing w:after="0"/>
              <w:rPr>
                <w:sz w:val="20"/>
                <w:szCs w:val="20"/>
                <w:color w:val="auto"/>
              </w:rPr>
            </w:pPr>
            <w:r>
              <w:rPr>
                <w:rFonts w:ascii="Arial" w:cs="Arial" w:eastAsia="Arial" w:hAnsi="Arial"/>
                <w:sz w:val="14"/>
                <w:szCs w:val="14"/>
                <w:color w:val="auto"/>
              </w:rPr>
              <w:t>Risk-Free Rate</w:t>
            </w:r>
          </w:p>
        </w:tc>
        <w:tc>
          <w:tcPr>
            <w:tcW w:w="3260" w:type="dxa"/>
            <w:vAlign w:val="bottom"/>
          </w:tcPr>
          <w:p>
            <w:pPr>
              <w:spacing w:after="0"/>
              <w:rPr>
                <w:sz w:val="15"/>
                <w:szCs w:val="15"/>
                <w:color w:val="auto"/>
              </w:rPr>
            </w:pPr>
          </w:p>
        </w:tc>
        <w:tc>
          <w:tcPr>
            <w:tcW w:w="2880" w:type="dxa"/>
            <w:vAlign w:val="bottom"/>
          </w:tcPr>
          <w:p>
            <w:pPr>
              <w:jc w:val="right"/>
              <w:ind w:right="72"/>
              <w:spacing w:after="0"/>
              <w:rPr>
                <w:sz w:val="20"/>
                <w:szCs w:val="20"/>
                <w:color w:val="auto"/>
              </w:rPr>
            </w:pPr>
            <w:r>
              <w:rPr>
                <w:rFonts w:ascii="Arial" w:cs="Arial" w:eastAsia="Arial" w:hAnsi="Arial"/>
                <w:sz w:val="14"/>
                <w:szCs w:val="14"/>
                <w:color w:val="auto"/>
              </w:rPr>
              <w:t>0.3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3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Value Cap</w:t>
            </w:r>
          </w:p>
        </w:tc>
        <w:tc>
          <w:tcPr>
            <w:tcW w:w="326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 of the grant date stock price</w:t>
            </w:r>
          </w:p>
        </w:tc>
      </w:tr>
    </w:tbl>
    <w:p>
      <w:pPr>
        <w:spacing w:after="0" w:line="194"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PSUs granted in 2020 have a three-year measurement period starting on January 1, 2020, going through December 31, 2022. The performance metrics are based on adjusted operating income of Genworth’s U.S. Mortgage Insurance and Australia Mortgage Insurance segments and gross incremental annual premiums in Genworth’s long-term care insurance business, defined as approved weighted-average premium rate increases multiplied by the annualized in-force premiums.</w:t>
      </w:r>
    </w:p>
    <w:p>
      <w:pPr>
        <w:spacing w:after="0" w:line="120"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PSUs granted in 2019 have a three-year measurement period starting on January 1, 2019 going through December 31, 2021. The performance metric is based on consolidated Genworth’s adjusted operating income.</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For all PSU awards granted, the compensation committee of Genworth’s Board of Directors determines and approves no later than March 15, following the end of the three-year performance period for each applicable performance period, the number of units earned and vested for each distinct performance period.</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Expense associated with our PSUs was $1.3 million in 2021 and less than $1.0 million in years 2020 and 2019.</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2021, 2020 and 2019, Genworth granted cash awards with a fair value of $1.00. Genworth has performance-based cash awards, which vested and paid out in 2021. Genworth also has time-based cash awards, which vest over three years, with a third of the payout occurring per year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9" w:name="page160"/>
    <w:bookmarkEnd w:id="159"/>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vesting period, beginning on the first anniversary of the grant date. The following table summarizes cash award activity as of December 31, 2021, 2020 and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(Number of awards in thousands)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Performance-based</w:t>
            </w:r>
          </w:p>
        </w:tc>
        <w:tc>
          <w:tcPr>
            <w:tcW w:w="220" w:type="dxa"/>
            <w:vAlign w:val="bottom"/>
          </w:tcPr>
          <w:p>
            <w:pPr>
              <w:spacing w:after="0"/>
              <w:rPr>
                <w:sz w:val="10"/>
                <w:szCs w:val="10"/>
                <w:color w:val="auto"/>
              </w:rPr>
            </w:pPr>
          </w:p>
        </w:tc>
        <w:tc>
          <w:tcPr>
            <w:tcW w:w="1360" w:type="dxa"/>
            <w:vAlign w:val="bottom"/>
          </w:tcPr>
          <w:p>
            <w:pPr>
              <w:jc w:val="center"/>
              <w:ind w:right="133"/>
              <w:spacing w:after="0"/>
              <w:rPr>
                <w:sz w:val="20"/>
                <w:szCs w:val="20"/>
                <w:color w:val="auto"/>
              </w:rPr>
            </w:pPr>
            <w:r>
              <w:rPr>
                <w:rFonts w:ascii="Arial" w:cs="Arial" w:eastAsia="Arial" w:hAnsi="Arial"/>
                <w:sz w:val="11"/>
                <w:szCs w:val="11"/>
                <w:b w:val="1"/>
                <w:bCs w:val="1"/>
                <w:color w:val="auto"/>
                <w:w w:val="98"/>
              </w:rPr>
              <w:t>Time-based</w:t>
            </w:r>
          </w:p>
        </w:tc>
        <w:tc>
          <w:tcPr>
            <w:tcW w:w="0" w:type="dxa"/>
            <w:vAlign w:val="bottom"/>
          </w:tcPr>
          <w:p>
            <w:pPr>
              <w:spacing w:after="0"/>
              <w:rPr>
                <w:sz w:val="1"/>
                <w:szCs w:val="1"/>
                <w:color w:val="auto"/>
              </w:rPr>
            </w:pPr>
          </w:p>
        </w:tc>
      </w:tr>
      <w:tr>
        <w:trPr>
          <w:trHeight w:val="133"/>
        </w:trPr>
        <w:tc>
          <w:tcPr>
            <w:tcW w:w="8040" w:type="dxa"/>
            <w:vAlign w:val="bottom"/>
            <w:vMerge w:val="continue"/>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cash awards</w:t>
            </w:r>
          </w:p>
        </w:tc>
        <w:tc>
          <w:tcPr>
            <w:tcW w:w="220" w:type="dxa"/>
            <w:vAlign w:val="bottom"/>
          </w:tcPr>
          <w:p>
            <w:pPr>
              <w:spacing w:after="0"/>
              <w:rPr>
                <w:sz w:val="11"/>
                <w:szCs w:val="11"/>
                <w:color w:val="auto"/>
              </w:rPr>
            </w:pPr>
          </w:p>
        </w:tc>
        <w:tc>
          <w:tcPr>
            <w:tcW w:w="1360" w:type="dxa"/>
            <w:vAlign w:val="bottom"/>
          </w:tcPr>
          <w:p>
            <w:pPr>
              <w:jc w:val="center"/>
              <w:ind w:right="153"/>
              <w:spacing w:after="0"/>
              <w:rPr>
                <w:sz w:val="20"/>
                <w:szCs w:val="20"/>
                <w:color w:val="auto"/>
              </w:rPr>
            </w:pPr>
            <w:r>
              <w:rPr>
                <w:rFonts w:ascii="Arial" w:cs="Arial" w:eastAsia="Arial" w:hAnsi="Arial"/>
                <w:sz w:val="11"/>
                <w:szCs w:val="11"/>
                <w:b w:val="1"/>
                <w:bCs w:val="1"/>
                <w:color w:val="auto"/>
                <w:w w:val="99"/>
              </w:rPr>
              <w:t>cash awards</w:t>
            </w:r>
          </w:p>
        </w:tc>
        <w:tc>
          <w:tcPr>
            <w:tcW w:w="0" w:type="dxa"/>
            <w:vAlign w:val="bottom"/>
          </w:tcPr>
          <w:p>
            <w:pPr>
              <w:spacing w:after="0"/>
              <w:rPr>
                <w:sz w:val="1"/>
                <w:szCs w:val="1"/>
                <w:color w:val="auto"/>
              </w:rPr>
            </w:pPr>
          </w:p>
        </w:tc>
      </w:tr>
      <w:tr>
        <w:trPr>
          <w:trHeight w:val="16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2019</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4,715</w:t>
            </w:r>
          </w:p>
        </w:tc>
        <w:tc>
          <w:tcPr>
            <w:tcW w:w="0" w:type="dxa"/>
            <w:vAlign w:val="bottom"/>
          </w:tcPr>
          <w:p>
            <w:pPr>
              <w:spacing w:after="0"/>
              <w:rPr>
                <w:sz w:val="1"/>
                <w:szCs w:val="1"/>
                <w:color w:val="auto"/>
              </w:rPr>
            </w:pPr>
          </w:p>
        </w:tc>
      </w:tr>
      <w:tr>
        <w:trPr>
          <w:trHeight w:val="164"/>
        </w:trPr>
        <w:tc>
          <w:tcPr>
            <w:tcW w:w="8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3,411</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5,536</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3,569</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adjustment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tcPr>
          <w:p>
            <w:pPr>
              <w:jc w:val="right"/>
              <w:spacing w:after="0"/>
              <w:rPr>
                <w:sz w:val="20"/>
                <w:szCs w:val="20"/>
                <w:color w:val="auto"/>
              </w:rPr>
            </w:pPr>
            <w:r>
              <w:rPr>
                <w:rFonts w:ascii="Arial" w:cs="Arial" w:eastAsia="Arial" w:hAnsi="Arial"/>
                <w:sz w:val="14"/>
                <w:szCs w:val="14"/>
                <w:color w:val="auto"/>
              </w:rPr>
              <w:t>(1,178)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65"/>
        </w:trPr>
        <w:tc>
          <w:tcPr>
            <w:tcW w:w="804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530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6,567</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Performance adjustment</w:t>
            </w:r>
          </w:p>
        </w:tc>
        <w:tc>
          <w:tcPr>
            <w:tcW w:w="1580" w:type="dxa"/>
            <w:vAlign w:val="bottom"/>
          </w:tcPr>
          <w:p>
            <w:pPr>
              <w:jc w:val="right"/>
              <w:spacing w:after="0"/>
              <w:rPr>
                <w:sz w:val="20"/>
                <w:szCs w:val="20"/>
                <w:color w:val="auto"/>
              </w:rPr>
            </w:pPr>
            <w:r>
              <w:rPr>
                <w:rFonts w:ascii="Arial" w:cs="Arial" w:eastAsia="Arial" w:hAnsi="Arial"/>
                <w:sz w:val="14"/>
                <w:szCs w:val="14"/>
                <w:color w:val="auto"/>
              </w:rPr>
              <w:t>449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90"/>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The following table summarizes stock option activity as of December 31, 2021, 2020 and 2019:</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80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Shares subject</w:t>
            </w:r>
          </w:p>
        </w:tc>
        <w:tc>
          <w:tcPr>
            <w:tcW w:w="220" w:type="dxa"/>
            <w:vAlign w:val="bottom"/>
          </w:tcPr>
          <w:p>
            <w:pPr>
              <w:spacing w:after="0"/>
              <w:rPr>
                <w:sz w:val="22"/>
                <w:szCs w:val="22"/>
                <w:color w:val="auto"/>
              </w:rPr>
            </w:pPr>
          </w:p>
        </w:tc>
        <w:tc>
          <w:tcPr>
            <w:tcW w:w="1360" w:type="dxa"/>
            <w:vAlign w:val="bottom"/>
          </w:tcPr>
          <w:p>
            <w:pPr>
              <w:jc w:val="center"/>
              <w:ind w:right="153"/>
              <w:spacing w:after="0"/>
              <w:rPr>
                <w:sz w:val="20"/>
                <w:szCs w:val="20"/>
                <w:color w:val="auto"/>
              </w:rPr>
            </w:pPr>
            <w:r>
              <w:rPr>
                <w:rFonts w:ascii="Arial" w:cs="Arial" w:eastAsia="Arial" w:hAnsi="Arial"/>
                <w:sz w:val="11"/>
                <w:szCs w:val="11"/>
                <w:b w:val="1"/>
                <w:bCs w:val="1"/>
                <w:color w:val="auto"/>
                <w:w w:val="99"/>
              </w:rPr>
              <w:t>Weighted-average</w:t>
            </w:r>
          </w:p>
        </w:tc>
        <w:tc>
          <w:tcPr>
            <w:tcW w:w="0" w:type="dxa"/>
            <w:vAlign w:val="bottom"/>
          </w:tcPr>
          <w:p>
            <w:pPr>
              <w:spacing w:after="0"/>
              <w:rPr>
                <w:sz w:val="1"/>
                <w:szCs w:val="1"/>
                <w:color w:val="auto"/>
              </w:rPr>
            </w:pPr>
          </w:p>
        </w:tc>
      </w:tr>
      <w:tr>
        <w:trPr>
          <w:trHeight w:val="133"/>
        </w:trPr>
        <w:tc>
          <w:tcPr>
            <w:tcW w:w="8040" w:type="dxa"/>
            <w:vAlign w:val="bottom"/>
            <w:vMerge w:val="continue"/>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to option</w:t>
            </w:r>
          </w:p>
        </w:tc>
        <w:tc>
          <w:tcPr>
            <w:tcW w:w="220" w:type="dxa"/>
            <w:vAlign w:val="bottom"/>
          </w:tcPr>
          <w:p>
            <w:pPr>
              <w:spacing w:after="0"/>
              <w:rPr>
                <w:sz w:val="11"/>
                <w:szCs w:val="11"/>
                <w:color w:val="auto"/>
              </w:rPr>
            </w:pPr>
          </w:p>
        </w:tc>
        <w:tc>
          <w:tcPr>
            <w:tcW w:w="1360" w:type="dxa"/>
            <w:vAlign w:val="bottom"/>
          </w:tcPr>
          <w:p>
            <w:pPr>
              <w:jc w:val="center"/>
              <w:ind w:right="133"/>
              <w:spacing w:after="0"/>
              <w:rPr>
                <w:sz w:val="20"/>
                <w:szCs w:val="20"/>
                <w:color w:val="auto"/>
              </w:rPr>
            </w:pPr>
            <w:r>
              <w:rPr>
                <w:rFonts w:ascii="Arial" w:cs="Arial" w:eastAsia="Arial" w:hAnsi="Arial"/>
                <w:sz w:val="11"/>
                <w:szCs w:val="11"/>
                <w:b w:val="1"/>
                <w:bCs w:val="1"/>
                <w:color w:val="auto"/>
                <w:w w:val="98"/>
              </w:rPr>
              <w:t>exercise price</w:t>
            </w:r>
          </w:p>
        </w:tc>
        <w:tc>
          <w:tcPr>
            <w:tcW w:w="0" w:type="dxa"/>
            <w:vAlign w:val="bottom"/>
          </w:tcPr>
          <w:p>
            <w:pPr>
              <w:spacing w:after="0"/>
              <w:rPr>
                <w:sz w:val="1"/>
                <w:szCs w:val="1"/>
                <w:color w:val="auto"/>
              </w:rPr>
            </w:pPr>
          </w:p>
        </w:tc>
      </w:tr>
      <w:tr>
        <w:trPr>
          <w:trHeight w:val="16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11.36</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Expired and forfeited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14.18</w:t>
            </w:r>
          </w:p>
        </w:tc>
        <w:tc>
          <w:tcPr>
            <w:tcW w:w="0" w:type="dxa"/>
            <w:vAlign w:val="bottom"/>
          </w:tcPr>
          <w:p>
            <w:pPr>
              <w:spacing w:after="0"/>
              <w:rPr>
                <w:sz w:val="1"/>
                <w:szCs w:val="1"/>
                <w:color w:val="auto"/>
              </w:rPr>
            </w:pPr>
          </w:p>
        </w:tc>
      </w:tr>
      <w:tr>
        <w:trPr>
          <w:trHeight w:val="164"/>
        </w:trPr>
        <w:tc>
          <w:tcPr>
            <w:tcW w:w="8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and 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4"/>
        </w:trPr>
        <w:tc>
          <w:tcPr>
            <w:tcW w:w="8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Expired and forfeited</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Exercisable as of December 31, 2021</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0" w:name="page161"/>
    <w:bookmarkEnd w:id="160"/>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were no stock options outstanding as of December 31, 2021.</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the status of other equity-based awards as of December 31, 2021,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RSUs</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PSUs</w:t>
            </w: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SARs</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360" w:type="dxa"/>
            <w:vAlign w:val="bottom"/>
          </w:tcPr>
          <w:p>
            <w:pPr>
              <w:spacing w:after="0"/>
              <w:rPr>
                <w:sz w:val="8"/>
                <w:szCs w:val="8"/>
                <w:color w:val="auto"/>
              </w:rPr>
            </w:pPr>
          </w:p>
        </w:tc>
        <w:tc>
          <w:tcPr>
            <w:tcW w:w="760" w:type="dxa"/>
            <w:vAlign w:val="bottom"/>
            <w:vMerge w:val="restart"/>
          </w:tcPr>
          <w:p>
            <w:pPr>
              <w:jc w:val="center"/>
              <w:ind w:left="245"/>
              <w:spacing w:after="0"/>
              <w:rPr>
                <w:sz w:val="20"/>
                <w:szCs w:val="20"/>
                <w:color w:val="auto"/>
              </w:rPr>
            </w:pPr>
            <w:r>
              <w:rPr>
                <w:rFonts w:ascii="Arial" w:cs="Arial" w:eastAsia="Arial" w:hAnsi="Arial"/>
                <w:sz w:val="11"/>
                <w:szCs w:val="11"/>
                <w:b w:val="1"/>
                <w:bCs w:val="1"/>
                <w:color w:val="auto"/>
              </w:rPr>
              <w:t>Number</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300"/>
              <w:spacing w:after="0" w:line="103" w:lineRule="exact"/>
              <w:rPr>
                <w:sz w:val="20"/>
                <w:szCs w:val="20"/>
                <w:color w:val="auto"/>
              </w:rPr>
            </w:pPr>
            <w:r>
              <w:rPr>
                <w:rFonts w:ascii="Arial" w:cs="Arial" w:eastAsia="Arial" w:hAnsi="Arial"/>
                <w:sz w:val="11"/>
                <w:szCs w:val="11"/>
                <w:b w:val="1"/>
                <w:bCs w:val="1"/>
                <w:color w:val="auto"/>
                <w:w w:val="97"/>
              </w:rPr>
              <w:t>Weighted-</w:t>
            </w: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280"/>
              <w:spacing w:after="0" w:line="103" w:lineRule="exact"/>
              <w:rPr>
                <w:sz w:val="20"/>
                <w:szCs w:val="20"/>
                <w:color w:val="auto"/>
              </w:rPr>
            </w:pPr>
            <w:r>
              <w:rPr>
                <w:rFonts w:ascii="Arial" w:cs="Arial" w:eastAsia="Arial" w:hAnsi="Arial"/>
                <w:sz w:val="11"/>
                <w:szCs w:val="11"/>
                <w:b w:val="1"/>
                <w:bCs w:val="1"/>
                <w:color w:val="auto"/>
                <w:w w:val="97"/>
              </w:rPr>
              <w:t>Weighted-</w:t>
            </w:r>
          </w:p>
        </w:tc>
        <w:tc>
          <w:tcPr>
            <w:tcW w:w="780" w:type="dxa"/>
            <w:vAlign w:val="bottom"/>
            <w:vMerge w:val="restart"/>
          </w:tcPr>
          <w:p>
            <w:pPr>
              <w:jc w:val="center"/>
              <w:ind w:left="265"/>
              <w:spacing w:after="0"/>
              <w:rPr>
                <w:sz w:val="20"/>
                <w:szCs w:val="20"/>
                <w:color w:val="auto"/>
              </w:rPr>
            </w:pPr>
            <w:r>
              <w:rPr>
                <w:rFonts w:ascii="Arial" w:cs="Arial" w:eastAsia="Arial" w:hAnsi="Arial"/>
                <w:sz w:val="11"/>
                <w:szCs w:val="11"/>
                <w:b w:val="1"/>
                <w:bCs w:val="1"/>
                <w:color w:val="auto"/>
              </w:rPr>
              <w:t>Number</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line="103" w:lineRule="exact"/>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103"/>
        </w:trPr>
        <w:tc>
          <w:tcPr>
            <w:tcW w:w="43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80"/>
              <w:spacing w:after="0" w:line="103" w:lineRule="exact"/>
              <w:rPr>
                <w:sz w:val="20"/>
                <w:szCs w:val="20"/>
                <w:color w:val="auto"/>
              </w:rPr>
            </w:pPr>
            <w:r>
              <w:rPr>
                <w:rFonts w:ascii="Arial" w:cs="Arial" w:eastAsia="Arial" w:hAnsi="Arial"/>
                <w:sz w:val="11"/>
                <w:szCs w:val="11"/>
                <w:b w:val="1"/>
                <w:bCs w:val="1"/>
                <w:color w:val="auto"/>
              </w:rPr>
              <w:t>average</w:t>
            </w:r>
          </w:p>
        </w:tc>
        <w:tc>
          <w:tcPr>
            <w:tcW w:w="10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260"/>
              <w:spacing w:after="0" w:line="103" w:lineRule="exact"/>
              <w:rPr>
                <w:sz w:val="20"/>
                <w:szCs w:val="20"/>
                <w:color w:val="auto"/>
              </w:rPr>
            </w:pPr>
            <w:r>
              <w:rPr>
                <w:rFonts w:ascii="Arial" w:cs="Arial" w:eastAsia="Arial" w:hAnsi="Arial"/>
                <w:sz w:val="11"/>
                <w:szCs w:val="11"/>
                <w:b w:val="1"/>
                <w:bCs w:val="1"/>
                <w:color w:val="auto"/>
              </w:rPr>
              <w:t>average</w:t>
            </w:r>
          </w:p>
        </w:tc>
        <w:tc>
          <w:tcPr>
            <w:tcW w:w="7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line="103"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03"/>
        </w:trPr>
        <w:tc>
          <w:tcPr>
            <w:tcW w:w="4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Awards in thousands</w:t>
            </w:r>
          </w:p>
        </w:tc>
        <w:tc>
          <w:tcPr>
            <w:tcW w:w="760" w:type="dxa"/>
            <w:vAlign w:val="bottom"/>
          </w:tcPr>
          <w:p>
            <w:pPr>
              <w:jc w:val="center"/>
              <w:ind w:left="245"/>
              <w:spacing w:after="0" w:line="103" w:lineRule="exact"/>
              <w:rPr>
                <w:sz w:val="20"/>
                <w:szCs w:val="20"/>
                <w:color w:val="auto"/>
              </w:rPr>
            </w:pPr>
            <w:r>
              <w:rPr>
                <w:rFonts w:ascii="Arial" w:cs="Arial" w:eastAsia="Arial" w:hAnsi="Arial"/>
                <w:sz w:val="11"/>
                <w:szCs w:val="11"/>
                <w:b w:val="1"/>
                <w:bCs w:val="1"/>
                <w:color w:val="auto"/>
                <w:w w:val="95"/>
              </w:rPr>
              <w:t>of</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300"/>
              <w:spacing w:after="0" w:line="103" w:lineRule="exact"/>
              <w:rPr>
                <w:sz w:val="20"/>
                <w:szCs w:val="20"/>
                <w:color w:val="auto"/>
              </w:rPr>
            </w:pPr>
            <w:r>
              <w:rPr>
                <w:rFonts w:ascii="Arial" w:cs="Arial" w:eastAsia="Arial" w:hAnsi="Arial"/>
                <w:sz w:val="11"/>
                <w:szCs w:val="11"/>
                <w:b w:val="1"/>
                <w:bCs w:val="1"/>
                <w:color w:val="auto"/>
                <w:w w:val="97"/>
              </w:rPr>
              <w:t>grant date</w:t>
            </w:r>
          </w:p>
        </w:tc>
        <w:tc>
          <w:tcPr>
            <w:tcW w:w="108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280"/>
              <w:spacing w:after="0" w:line="103" w:lineRule="exact"/>
              <w:rPr>
                <w:sz w:val="20"/>
                <w:szCs w:val="20"/>
                <w:color w:val="auto"/>
              </w:rPr>
            </w:pPr>
            <w:r>
              <w:rPr>
                <w:rFonts w:ascii="Arial" w:cs="Arial" w:eastAsia="Arial" w:hAnsi="Arial"/>
                <w:sz w:val="11"/>
                <w:szCs w:val="11"/>
                <w:b w:val="1"/>
                <w:bCs w:val="1"/>
                <w:color w:val="auto"/>
                <w:w w:val="97"/>
              </w:rPr>
              <w:t>grant date</w:t>
            </w:r>
          </w:p>
        </w:tc>
        <w:tc>
          <w:tcPr>
            <w:tcW w:w="780" w:type="dxa"/>
            <w:vAlign w:val="bottom"/>
          </w:tcPr>
          <w:p>
            <w:pPr>
              <w:jc w:val="center"/>
              <w:ind w:left="265"/>
              <w:spacing w:after="0" w:line="103" w:lineRule="exact"/>
              <w:rPr>
                <w:sz w:val="20"/>
                <w:szCs w:val="20"/>
                <w:color w:val="auto"/>
              </w:rPr>
            </w:pPr>
            <w:r>
              <w:rPr>
                <w:rFonts w:ascii="Arial" w:cs="Arial" w:eastAsia="Arial" w:hAnsi="Arial"/>
                <w:sz w:val="11"/>
                <w:szCs w:val="11"/>
                <w:b w:val="1"/>
                <w:bCs w:val="1"/>
                <w:color w:val="auto"/>
                <w:w w:val="95"/>
              </w:rPr>
              <w:t>of</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line="103" w:lineRule="exact"/>
              <w:rPr>
                <w:sz w:val="20"/>
                <w:szCs w:val="20"/>
                <w:color w:val="auto"/>
              </w:rPr>
            </w:pPr>
            <w:r>
              <w:rPr>
                <w:rFonts w:ascii="Arial" w:cs="Arial" w:eastAsia="Arial" w:hAnsi="Arial"/>
                <w:sz w:val="11"/>
                <w:szCs w:val="11"/>
                <w:b w:val="1"/>
                <w:bCs w:val="1"/>
                <w:color w:val="auto"/>
                <w:w w:val="97"/>
              </w:rPr>
              <w:t>grant date</w:t>
            </w:r>
          </w:p>
        </w:tc>
        <w:tc>
          <w:tcPr>
            <w:tcW w:w="0" w:type="dxa"/>
            <w:vAlign w:val="bottom"/>
          </w:tcPr>
          <w:p>
            <w:pPr>
              <w:spacing w:after="0"/>
              <w:rPr>
                <w:sz w:val="1"/>
                <w:szCs w:val="1"/>
                <w:color w:val="auto"/>
              </w:rPr>
            </w:pPr>
          </w:p>
        </w:tc>
      </w:tr>
      <w:tr>
        <w:trPr>
          <w:trHeight w:val="133"/>
        </w:trPr>
        <w:tc>
          <w:tcPr>
            <w:tcW w:w="4360" w:type="dxa"/>
            <w:vAlign w:val="bottom"/>
            <w:vMerge w:val="continue"/>
          </w:tcPr>
          <w:p>
            <w:pPr>
              <w:spacing w:after="0"/>
              <w:rPr>
                <w:sz w:val="11"/>
                <w:szCs w:val="11"/>
                <w:color w:val="auto"/>
              </w:rPr>
            </w:pPr>
          </w:p>
        </w:tc>
        <w:tc>
          <w:tcPr>
            <w:tcW w:w="760" w:type="dxa"/>
            <w:vAlign w:val="bottom"/>
          </w:tcPr>
          <w:p>
            <w:pPr>
              <w:jc w:val="center"/>
              <w:ind w:left="245"/>
              <w:spacing w:after="0"/>
              <w:rPr>
                <w:sz w:val="20"/>
                <w:szCs w:val="20"/>
                <w:color w:val="auto"/>
              </w:rPr>
            </w:pPr>
            <w:r>
              <w:rPr>
                <w:rFonts w:ascii="Arial" w:cs="Arial" w:eastAsia="Arial" w:hAnsi="Arial"/>
                <w:sz w:val="11"/>
                <w:szCs w:val="11"/>
                <w:b w:val="1"/>
                <w:bCs w:val="1"/>
                <w:color w:val="auto"/>
              </w:rPr>
              <w:t>awards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fair value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awards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fair value</w:t>
            </w:r>
          </w:p>
        </w:tc>
        <w:tc>
          <w:tcPr>
            <w:tcW w:w="780" w:type="dxa"/>
            <w:vAlign w:val="bottom"/>
          </w:tcPr>
          <w:p>
            <w:pPr>
              <w:jc w:val="center"/>
              <w:ind w:left="265"/>
              <w:spacing w:after="0"/>
              <w:rPr>
                <w:sz w:val="20"/>
                <w:szCs w:val="20"/>
                <w:color w:val="auto"/>
              </w:rPr>
            </w:pPr>
            <w:r>
              <w:rPr>
                <w:rFonts w:ascii="Arial" w:cs="Arial" w:eastAsia="Arial" w:hAnsi="Arial"/>
                <w:sz w:val="11"/>
                <w:szCs w:val="11"/>
                <w:b w:val="1"/>
                <w:bCs w:val="1"/>
                <w:color w:val="auto"/>
              </w:rPr>
              <w:t>awards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ind w:right="135"/>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65"/>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2019</w:t>
            </w: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174"/>
        </w:trPr>
        <w:tc>
          <w:tcPr>
            <w:tcW w:w="4360" w:type="dxa"/>
            <w:vAlign w:val="bottom"/>
          </w:tcPr>
          <w:p>
            <w:pPr>
              <w:ind w:left="20"/>
              <w:spacing w:after="0"/>
              <w:rPr>
                <w:sz w:val="20"/>
                <w:szCs w:val="20"/>
                <w:color w:val="auto"/>
              </w:rPr>
            </w:pPr>
            <w:r>
              <w:rPr>
                <w:rFonts w:ascii="Arial" w:cs="Arial" w:eastAsia="Arial" w:hAnsi="Arial"/>
                <w:sz w:val="14"/>
                <w:szCs w:val="14"/>
                <w:color w:val="auto"/>
              </w:rPr>
              <w:t>Granted</w:t>
            </w:r>
          </w:p>
        </w:tc>
        <w:tc>
          <w:tcPr>
            <w:tcW w:w="7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135</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Terminated</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CCEEFF"/>
            </w:tcBorders>
            <w:gridSpan w:val="2"/>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CCEEFF"/>
            </w:tcBorders>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7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642</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164"/>
        </w:trPr>
        <w:tc>
          <w:tcPr>
            <w:tcW w:w="4360" w:type="dxa"/>
            <w:vAlign w:val="bottom"/>
          </w:tcPr>
          <w:p>
            <w:pPr>
              <w:ind w:left="20"/>
              <w:spacing w:after="0"/>
              <w:rPr>
                <w:sz w:val="20"/>
                <w:szCs w:val="20"/>
                <w:color w:val="auto"/>
              </w:rPr>
            </w:pPr>
            <w:r>
              <w:rPr>
                <w:rFonts w:ascii="Arial" w:cs="Arial" w:eastAsia="Arial" w:hAnsi="Arial"/>
                <w:sz w:val="14"/>
                <w:szCs w:val="14"/>
                <w:color w:val="auto"/>
              </w:rPr>
              <w:t>Granted</w:t>
            </w:r>
          </w:p>
        </w:tc>
        <w:tc>
          <w:tcPr>
            <w:tcW w:w="7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134</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Terminated</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gridSpan w:val="2"/>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CCEEFF"/>
            </w:tcBorders>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7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164"/>
        </w:trPr>
        <w:tc>
          <w:tcPr>
            <w:tcW w:w="4360" w:type="dxa"/>
            <w:vAlign w:val="bottom"/>
          </w:tcPr>
          <w:p>
            <w:pPr>
              <w:ind w:left="20"/>
              <w:spacing w:after="0"/>
              <w:rPr>
                <w:sz w:val="20"/>
                <w:szCs w:val="20"/>
                <w:color w:val="auto"/>
              </w:rPr>
            </w:pPr>
            <w:r>
              <w:rPr>
                <w:rFonts w:ascii="Arial" w:cs="Arial" w:eastAsia="Arial" w:hAnsi="Arial"/>
                <w:sz w:val="14"/>
                <w:szCs w:val="14"/>
                <w:color w:val="auto"/>
              </w:rPr>
              <w:t>Granted</w:t>
            </w:r>
          </w:p>
        </w:tc>
        <w:tc>
          <w:tcPr>
            <w:tcW w:w="7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316</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Transfer</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74"/>
        </w:trPr>
        <w:tc>
          <w:tcPr>
            <w:tcW w:w="4360" w:type="dxa"/>
            <w:vAlign w:val="bottom"/>
          </w:tcPr>
          <w:p>
            <w:pPr>
              <w:ind w:left="20"/>
              <w:spacing w:after="0"/>
              <w:rPr>
                <w:sz w:val="20"/>
                <w:szCs w:val="20"/>
                <w:color w:val="auto"/>
              </w:rPr>
            </w:pPr>
            <w:r>
              <w:rPr>
                <w:rFonts w:ascii="Arial" w:cs="Arial" w:eastAsia="Arial" w:hAnsi="Arial"/>
                <w:sz w:val="14"/>
                <w:szCs w:val="14"/>
                <w:color w:val="auto"/>
              </w:rPr>
              <w:t>Exercised</w:t>
            </w:r>
          </w:p>
        </w:tc>
        <w:tc>
          <w:tcPr>
            <w:tcW w:w="7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(90)</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Terminated</w:t>
            </w:r>
          </w:p>
        </w:tc>
        <w:tc>
          <w:tcPr>
            <w:tcW w:w="7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65"/>
        </w:trPr>
        <w:tc>
          <w:tcPr>
            <w:tcW w:w="436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3.36</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572</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w:t>
            </w:r>
          </w:p>
        </w:tc>
        <w:tc>
          <w:tcPr>
            <w:tcW w:w="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As of December 31, 2021, and 2020, total unrecognized share-based compensation expense related to non-vested awards not yet recognized was $2.5 million and $1.4 million, respectively. This expense is expected to be recognized over a weighted-average period of approximately two years and less than one year, respectively.</w:t>
      </w:r>
    </w:p>
    <w:p>
      <w:pPr>
        <w:spacing w:after="0" w:line="119"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In 2021 and 2020, there was no cash received from stock options exercised in each year. New shares were issued to settle all exercised awards. The actual tax benefit realized for the tax deductions from the exercise of share-based awards was $0.7 million and $0.8 million as of December 31, 2021 and 2020, respectively.</w:t>
      </w:r>
    </w:p>
    <w:p>
      <w:pPr>
        <w:spacing w:after="0" w:line="103" w:lineRule="exact"/>
        <w:rPr>
          <w:sz w:val="20"/>
          <w:szCs w:val="20"/>
          <w:color w:val="auto"/>
        </w:rPr>
      </w:pPr>
    </w:p>
    <w:p>
      <w:pPr>
        <w:ind w:left="500" w:hanging="498"/>
        <w:spacing w:after="0"/>
        <w:tabs>
          <w:tab w:leader="none" w:pos="50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Related Party Transactions</w:t>
      </w:r>
    </w:p>
    <w:p>
      <w:pPr>
        <w:spacing w:after="0" w:line="142" w:lineRule="exact"/>
        <w:rPr>
          <w:sz w:val="20"/>
          <w:szCs w:val="20"/>
          <w:color w:val="auto"/>
        </w:rPr>
      </w:pPr>
    </w:p>
    <w:p>
      <w:pPr>
        <w:jc w:val="both"/>
        <w:ind w:firstLine="246"/>
        <w:spacing w:after="0" w:line="274" w:lineRule="auto"/>
        <w:rPr>
          <w:sz w:val="20"/>
          <w:szCs w:val="20"/>
          <w:color w:val="auto"/>
        </w:rPr>
      </w:pPr>
      <w:r>
        <w:rPr>
          <w:rFonts w:ascii="Arial" w:cs="Arial" w:eastAsia="Arial" w:hAnsi="Arial"/>
          <w:sz w:val="13"/>
          <w:szCs w:val="13"/>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$44.5 million, $50.3 million and $37.0 million in 2021, 2020 and 2019, respectively.</w:t>
      </w:r>
    </w:p>
    <w:p>
      <w:pPr>
        <w:spacing w:after="0" w:line="103"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Our investment portfolio is managed by Genworth. Under the terms of the investment management agreement we are charged a fee by Genworth. All fees paid to Genworth are charged to investment expense and are included in net investment income in the consolidated statements of income. The total investment expenses paid to Genworth were $5.2 million, $5.2 million and $4.1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1" w:name="page162"/>
    <w:bookmarkEnd w:id="161"/>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Our employees participate in certain benefit plans sponsored by Genworth and certain share-based compensation plans that utilize shares of Genworth common stock and other incentive plans. See Note 9 and Note 10 for further information.</w:t>
      </w:r>
    </w:p>
    <w:p>
      <w:pPr>
        <w:spacing w:after="0" w:line="119"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We provide certain information technology and administrative services (such as facilities and maintenance) to Genworth. We charged Genworth $0.3 million, $1.3 million and $1.5 million for these services in 2021, 2020 and 2019, respectively.</w:t>
      </w:r>
    </w:p>
    <w:p>
      <w:pPr>
        <w:spacing w:after="0" w:line="119" w:lineRule="exact"/>
        <w:rPr>
          <w:sz w:val="20"/>
          <w:szCs w:val="20"/>
          <w:color w:val="auto"/>
        </w:rPr>
      </w:pPr>
    </w:p>
    <w:p>
      <w:pPr>
        <w:ind w:firstLine="246"/>
        <w:spacing w:after="0" w:line="286" w:lineRule="auto"/>
        <w:rPr>
          <w:sz w:val="20"/>
          <w:szCs w:val="20"/>
          <w:color w:val="auto"/>
        </w:rPr>
      </w:pPr>
      <w:r>
        <w:rPr>
          <w:rFonts w:ascii="Arial" w:cs="Arial" w:eastAsia="Arial" w:hAnsi="Arial"/>
          <w:sz w:val="13"/>
          <w:szCs w:val="13"/>
          <w:color w:val="auto"/>
        </w:rPr>
        <w:t>We previously held an investment in common shares of Genworth Canada. Genworth Canada was consolidated within Genworth until its sale on December 12, 2019. We received dividends from Genworth Canada of $41.9 million in 2019, which is included within change in fair value of unconsolidated affiliate, net of tax in the consolidated statements of income.</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November 2021, we completed the acquisition of Genworth Financial Mauritius Holdings Limited from Genworth Financial International Holdings. Refer to Note 3 for further details.</w:t>
      </w:r>
    </w:p>
    <w:p>
      <w:pPr>
        <w:spacing w:after="0" w:line="138"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We paid cash dividends of $163.4 million, $437.4 million and $250.0 million to Genworth in 2021, 2020 and 2019, respectively. The amount and timing of future dividends will depend on the economic recovery from COVID-19, among other factors. Refer to Note 13 for further details on dividend restrictions.</w:t>
      </w:r>
    </w:p>
    <w:p>
      <w:pPr>
        <w:spacing w:after="0" w:line="119"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We have a tax sharing agreement in place with Genworth, such that we participate in a single U.S. consolidated income tax return filing. All intercompany balances related to this agreement are settled at least annually. Refer to Note 8 for further details.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consolidated financial statements include the following amounts due to and from Genworth relating to recurring service and expense agreements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2020</w:t>
            </w:r>
          </w:p>
        </w:tc>
      </w:tr>
      <w:tr>
        <w:trPr>
          <w:trHeight w:val="16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payable to Genworth</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12,371</w:t>
            </w:r>
          </w:p>
        </w:tc>
      </w:tr>
      <w:tr>
        <w:trPr>
          <w:trHeight w:val="173"/>
        </w:trPr>
        <w:tc>
          <w:tcPr>
            <w:tcW w:w="8040" w:type="dxa"/>
            <w:vAlign w:val="bottom"/>
          </w:tcPr>
          <w:p>
            <w:pPr>
              <w:ind w:left="20"/>
              <w:spacing w:after="0"/>
              <w:rPr>
                <w:sz w:val="20"/>
                <w:szCs w:val="20"/>
                <w:color w:val="auto"/>
              </w:rPr>
            </w:pPr>
            <w:r>
              <w:rPr>
                <w:rFonts w:ascii="Arial" w:cs="Arial" w:eastAsia="Arial" w:hAnsi="Arial"/>
                <w:sz w:val="14"/>
                <w:szCs w:val="14"/>
                <w:color w:val="auto"/>
              </w:rPr>
              <w:t>Amounts receivable from Genworth</w:t>
            </w:r>
          </w:p>
        </w:tc>
        <w:tc>
          <w:tcPr>
            <w:tcW w:w="1040" w:type="dxa"/>
            <w:vAlign w:val="bottom"/>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371</w:t>
            </w:r>
          </w:p>
        </w:tc>
      </w:tr>
    </w:tbl>
    <w:p>
      <w:pPr>
        <w:spacing w:after="0" w:line="169" w:lineRule="exact"/>
        <w:rPr>
          <w:sz w:val="20"/>
          <w:szCs w:val="20"/>
          <w:color w:val="auto"/>
        </w:rPr>
      </w:pPr>
    </w:p>
    <w:p>
      <w:pPr>
        <w:ind w:left="240" w:right="8600" w:firstLine="8"/>
        <w:spacing w:after="0" w:line="364" w:lineRule="auto"/>
        <w:tabs>
          <w:tab w:leader="none" w:pos="521"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Leases</w:t>
      </w:r>
    </w:p>
    <w:p>
      <w:pPr>
        <w:spacing w:after="0" w:line="41"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We lease certain office facilities, equipment and automobiles under operating leases. Operating lease right-of-use assets of $15.5 million and $18.1 million as of December 31, 2021 and 2020, respectively, were recorded in other assets on the consolidated balance sheets. Operating lease liabilities of $17.7 million and $20.4 million as of December 31, 2021 and 2020, respectively, were recorded in other liabilities on the consolidated balance sheets. Operating lease expenses were approximately $3.9 million, $4.0 million and $4.2 million for the years ended December 31, 2021, 2020 and 2019, respectively.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2" w:name="page163"/>
    <w:bookmarkEnd w:id="162"/>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Note 2 for additional information related to operating leases. The following table presents future minimum rent payments under operating leases as of December 31,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1800" w:type="dxa"/>
            <w:vAlign w:val="bottom"/>
            <w:gridSpan w:val="2"/>
          </w:tcPr>
          <w:p>
            <w:pPr>
              <w:jc w:val="right"/>
              <w:spacing w:after="0"/>
              <w:rPr>
                <w:sz w:val="20"/>
                <w:szCs w:val="20"/>
                <w:color w:val="auto"/>
              </w:rPr>
            </w:pPr>
            <w:r>
              <w:rPr>
                <w:rFonts w:ascii="Arial" w:cs="Arial" w:eastAsia="Arial" w:hAnsi="Arial"/>
                <w:sz w:val="11"/>
                <w:szCs w:val="11"/>
                <w:b w:val="1"/>
                <w:bCs w:val="1"/>
                <w:color w:val="auto"/>
                <w:w w:val="99"/>
              </w:rPr>
              <w:t>Future minimum payments under</w:t>
            </w:r>
          </w:p>
        </w:tc>
        <w:tc>
          <w:tcPr>
            <w:tcW w:w="0" w:type="dxa"/>
            <w:vAlign w:val="bottom"/>
          </w:tcPr>
          <w:p>
            <w:pPr>
              <w:spacing w:after="0"/>
              <w:rPr>
                <w:sz w:val="1"/>
                <w:szCs w:val="1"/>
                <w:color w:val="auto"/>
              </w:rPr>
            </w:pPr>
          </w:p>
        </w:tc>
      </w:tr>
      <w:tr>
        <w:trPr>
          <w:trHeight w:val="133"/>
        </w:trPr>
        <w:tc>
          <w:tcPr>
            <w:tcW w:w="948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65"/>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174"/>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3,601</w:t>
            </w:r>
          </w:p>
        </w:tc>
        <w:tc>
          <w:tcPr>
            <w:tcW w:w="0" w:type="dxa"/>
            <w:vAlign w:val="bottom"/>
          </w:tcPr>
          <w:p>
            <w:pPr>
              <w:spacing w:after="0"/>
              <w:rPr>
                <w:sz w:val="1"/>
                <w:szCs w:val="1"/>
                <w:color w:val="auto"/>
              </w:rPr>
            </w:pPr>
          </w:p>
        </w:tc>
      </w:tr>
      <w:tr>
        <w:trPr>
          <w:trHeight w:val="175"/>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74"/>
        </w:trPr>
        <w:tc>
          <w:tcPr>
            <w:tcW w:w="9480" w:type="dxa"/>
            <w:vAlign w:val="bottom"/>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3,765</w:t>
            </w:r>
          </w:p>
        </w:tc>
        <w:tc>
          <w:tcPr>
            <w:tcW w:w="0" w:type="dxa"/>
            <w:vAlign w:val="bottom"/>
          </w:tcPr>
          <w:p>
            <w:pPr>
              <w:spacing w:after="0"/>
              <w:rPr>
                <w:sz w:val="1"/>
                <w:szCs w:val="1"/>
                <w:color w:val="auto"/>
              </w:rPr>
            </w:pPr>
          </w:p>
        </w:tc>
      </w:tr>
      <w:tr>
        <w:trPr>
          <w:trHeight w:val="175"/>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2027 and thereafter</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65"/>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21,800</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Imputed interest</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9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17,657</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Litigation and Regulatory Matters</w:t>
      </w:r>
    </w:p>
    <w:p>
      <w:pPr>
        <w:spacing w:after="0" w:line="142" w:lineRule="exact"/>
        <w:rPr>
          <w:sz w:val="20"/>
          <w:szCs w:val="20"/>
          <w:color w:val="auto"/>
        </w:rPr>
      </w:pPr>
    </w:p>
    <w:p>
      <w:pPr>
        <w:jc w:val="both"/>
        <w:ind w:firstLine="246"/>
        <w:spacing w:after="0" w:line="266" w:lineRule="auto"/>
        <w:rPr>
          <w:sz w:val="20"/>
          <w:szCs w:val="20"/>
          <w:color w:val="auto"/>
        </w:rPr>
      </w:pPr>
      <w:r>
        <w:rPr>
          <w:rFonts w:ascii="Arial" w:cs="Arial" w:eastAsia="Arial" w:hAnsi="Arial"/>
          <w:sz w:val="13"/>
          <w:szCs w:val="13"/>
          <w:color w:val="auto"/>
        </w:rPr>
        <w:t>We face the risk of litigation and regulatory investigations and actions in the ordinary course of operating our business and are also subject to litigation arising out of our general business activities, such as our contractual and employment relationships. Past legal and regulatory actions include proceedings specific to us and others generally applicable to business practices in the mortgage insurance industry in which we operate. We have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us may seek very large or indeterminate amounts which may remain unknown for substantial periods of time. In addition, we are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us could have an adverse effect on our business, financial condition and results of operations. Moreover, even if we ultimately prevail in the litigation, regulatory action or investigation, we could suffer significant reputational harm, which could have an adverse effect on our business, financial condition or results of operations.</w:t>
      </w:r>
    </w:p>
    <w:p>
      <w:pPr>
        <w:spacing w:after="0" w:line="93" w:lineRule="exact"/>
        <w:rPr>
          <w:sz w:val="20"/>
          <w:szCs w:val="20"/>
          <w:color w:val="auto"/>
        </w:rPr>
      </w:pPr>
    </w:p>
    <w:p>
      <w:pPr>
        <w:ind w:left="500" w:hanging="498"/>
        <w:spacing w:after="0"/>
        <w:tabs>
          <w:tab w:leader="none" w:pos="50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Statutory information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Statutory Accounting Principles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2021, we did not have any prescribed or permitted statutory accounting practices that resulted in reported statutory surplus or risk-to-capital ratios being different from what would have been reported had NAIC statutory accounting practices been followed.</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key areas where SSAP financial statements differ from financial statements presented on a U.S. GAAP basis include:</w:t>
      </w:r>
    </w:p>
    <w:p>
      <w:pPr>
        <w:spacing w:after="0" w:line="126" w:lineRule="exact"/>
        <w:rPr>
          <w:sz w:val="20"/>
          <w:szCs w:val="20"/>
          <w:color w:val="auto"/>
        </w:rPr>
      </w:pPr>
    </w:p>
    <w:p>
      <w:pPr>
        <w:ind w:left="500" w:hanging="252"/>
        <w:spacing w:after="0" w:line="248" w:lineRule="auto"/>
        <w:tabs>
          <w:tab w:leader="none" w:pos="493" w:val="left"/>
        </w:tabs>
        <w:numPr>
          <w:ilvl w:val="0"/>
          <w:numId w:val="80"/>
        </w:numPr>
        <w:rPr>
          <w:rFonts w:ascii="Arial" w:cs="Arial" w:eastAsia="Arial" w:hAnsi="Arial"/>
          <w:sz w:val="14"/>
          <w:szCs w:val="14"/>
          <w:color w:val="auto"/>
        </w:rPr>
      </w:pPr>
      <w:r>
        <w:rPr>
          <w:rFonts w:ascii="Arial" w:cs="Arial" w:eastAsia="Arial" w:hAnsi="Arial"/>
          <w:sz w:val="14"/>
          <w:szCs w:val="14"/>
          <w:color w:val="auto"/>
        </w:rPr>
        <w:t>Under SSAP, mortgage insurance companies are required each year to establish a special contingency reserve in their statutory financial statements to provide for losses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3" w:name="page164"/>
    <w:bookmarkEnd w:id="163"/>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55" w:lineRule="exact"/>
        <w:rPr>
          <w:sz w:val="20"/>
          <w:szCs w:val="20"/>
          <w:color w:val="auto"/>
        </w:rPr>
      </w:pPr>
    </w:p>
    <w:p>
      <w:pPr>
        <w:jc w:val="both"/>
        <w:ind w:left="500"/>
        <w:spacing w:after="0" w:line="246" w:lineRule="auto"/>
        <w:rPr>
          <w:sz w:val="20"/>
          <w:szCs w:val="20"/>
          <w:color w:val="auto"/>
        </w:rPr>
      </w:pPr>
      <w:r>
        <w:rPr>
          <w:rFonts w:ascii="Arial" w:cs="Arial" w:eastAsia="Arial" w:hAnsi="Arial"/>
          <w:sz w:val="14"/>
          <w:szCs w:val="14"/>
          <w:color w:val="auto"/>
        </w:rPr>
        <w:t>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20" w:lineRule="exact"/>
        <w:rPr>
          <w:sz w:val="20"/>
          <w:szCs w:val="20"/>
          <w:color w:val="auto"/>
        </w:rPr>
      </w:pPr>
    </w:p>
    <w:p>
      <w:pPr>
        <w:ind w:left="480" w:hanging="232"/>
        <w:spacing w:after="0"/>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 SSAP, insurance policy acquisition costs are charged against operations in the year incurred. Under U.S. GAAP, such costs are deferred and amortized.</w:t>
      </w:r>
    </w:p>
    <w:p>
      <w:pPr>
        <w:spacing w:after="0" w:line="126" w:lineRule="exact"/>
        <w:rPr>
          <w:rFonts w:ascii="Arial" w:cs="Arial" w:eastAsia="Arial" w:hAnsi="Arial"/>
          <w:sz w:val="14"/>
          <w:szCs w:val="14"/>
          <w:color w:val="auto"/>
        </w:rPr>
      </w:pPr>
    </w:p>
    <w:p>
      <w:pPr>
        <w:jc w:val="both"/>
        <w:ind w:left="500" w:hanging="252"/>
        <w:spacing w:after="0" w:line="245" w:lineRule="auto"/>
        <w:tabs>
          <w:tab w:leader="none" w:pos="495"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 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122" w:lineRule="exact"/>
        <w:rPr>
          <w:rFonts w:ascii="Arial" w:cs="Arial" w:eastAsia="Arial" w:hAnsi="Arial"/>
          <w:sz w:val="14"/>
          <w:szCs w:val="14"/>
          <w:color w:val="auto"/>
        </w:rPr>
      </w:pPr>
    </w:p>
    <w:p>
      <w:pPr>
        <w:jc w:val="both"/>
        <w:ind w:left="500" w:hanging="252"/>
        <w:spacing w:after="0" w:line="246" w:lineRule="auto"/>
        <w:tabs>
          <w:tab w:leader="none" w:pos="493"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 SSAP, investment grade fixed-maturity investments are valued at amortized cost and below-investment grade securities are carried at the lower of amortized cost or market value. Under U.S. GAAP, those investments that we do not have the ability or intent to hold to maturity are considered to be either available for sale or trading securities and are recorded at fair value, with the unrealized gain or loss recognized, net of tax, as an increase or decrease to equity or current operations, as applicable.</w:t>
      </w:r>
    </w:p>
    <w:p>
      <w:pPr>
        <w:spacing w:after="0" w:line="120" w:lineRule="exact"/>
        <w:rPr>
          <w:rFonts w:ascii="Arial" w:cs="Arial" w:eastAsia="Arial" w:hAnsi="Arial"/>
          <w:sz w:val="14"/>
          <w:szCs w:val="14"/>
          <w:color w:val="auto"/>
        </w:rPr>
      </w:pPr>
    </w:p>
    <w:p>
      <w:pPr>
        <w:ind w:left="480" w:hanging="232"/>
        <w:spacing w:after="0"/>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Under SSAP, certain assets, designated as non-admitted assets, are charged directly against statutory surplus. Such assets are reflected in our U.S. GAAP financial statements.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table below presents statutory net income, statutory policyholders’ surplus and contingency reserve for the combined insurance subsidiaries as of and for the years ended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net income</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593,093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847,384</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Statutory policyholders’ surplus</w:t>
            </w:r>
          </w:p>
        </w:tc>
        <w:tc>
          <w:tcPr>
            <w:tcW w:w="920" w:type="dxa"/>
            <w:vAlign w:val="bottom"/>
          </w:tcPr>
          <w:p>
            <w:pPr>
              <w:jc w:val="right"/>
              <w:ind w:right="755"/>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1,397,229</w:t>
            </w:r>
          </w:p>
        </w:tc>
        <w:tc>
          <w:tcPr>
            <w:tcW w:w="80" w:type="dxa"/>
            <w:vAlign w:val="bottom"/>
          </w:tcPr>
          <w:p>
            <w:pPr>
              <w:spacing w:after="0"/>
              <w:rPr>
                <w:sz w:val="15"/>
                <w:szCs w:val="15"/>
                <w:color w:val="auto"/>
              </w:rPr>
            </w:pPr>
          </w:p>
        </w:tc>
        <w:tc>
          <w:tcPr>
            <w:tcW w:w="920" w:type="dxa"/>
            <w:vAlign w:val="bottom"/>
          </w:tcPr>
          <w:p>
            <w:pPr>
              <w:jc w:val="right"/>
              <w:ind w:right="755"/>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1,555,035</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1,632,518</w:t>
            </w: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Contingency reserve</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3,042,117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2,518,194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2,031,563</w:t>
            </w:r>
          </w:p>
        </w:tc>
      </w:tr>
    </w:tbl>
    <w:p>
      <w:pPr>
        <w:spacing w:after="0" w:line="17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Statutory Capital Requirements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Mortgage insurers are not subject to the NAIC’s risk-based capital (“RBC”) requirements, but certain states and other regulators impose another form of capital requirement on mortgage insurers requiring maintenance of a risk-to-capital ratio not to exceed 25:1. Our insurance subsidiaries are domiciled in North Carolina. Fifteen other states maintain similar risk-to-capital requirements. As of December 31, 2021 and 2020, the risk-to-capital ratio for our combined insurance subsidiaries under the current regulatory framework as established under North Carolina law and enforced by the North Carolina Department of Insurance (“NCDOI”) was approximately 12.2:1 and 12.1:1, respectively. Each of our insurance subsidiaries met its respective capital requirement as of 2021 and 2020.</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PMIERs Regulatory Requirements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Mortgage insurers must meet the private mortgage insurer eligibility requirements (“PMIERs”) as set forth by each GSE in order to remain eligible to insure loans that are purchased by the GSEs. Each approved mortgage insurer is required to provide the GSEs with an annual certification and a quarterly report as to its compliance with PMIERs.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4" w:name="page165"/>
    <w:bookmarkEnd w:id="164"/>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3"/>
          <w:szCs w:val="13"/>
          <w:color w:val="auto"/>
        </w:rPr>
        <w:t>During 2020, the GSEs issued several amendments to PMIERs.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95" w:lineRule="exact"/>
        <w:rPr>
          <w:sz w:val="20"/>
          <w:szCs w:val="20"/>
          <w:color w:val="auto"/>
        </w:rPr>
      </w:pPr>
    </w:p>
    <w:p>
      <w:pPr>
        <w:jc w:val="both"/>
        <w:ind w:firstLine="246"/>
        <w:spacing w:after="0" w:line="244" w:lineRule="auto"/>
        <w:rPr>
          <w:sz w:val="20"/>
          <w:szCs w:val="20"/>
          <w:color w:val="auto"/>
        </w:rPr>
      </w:pPr>
      <w:r>
        <w:rPr>
          <w:rFonts w:ascii="Arial" w:cs="Arial" w:eastAsia="Arial" w:hAnsi="Arial"/>
          <w:sz w:val="14"/>
          <w:szCs w:val="14"/>
          <w:color w:val="auto"/>
        </w:rPr>
        <w:t>The PMIERs include financial requirements for mortgage insurers under which a mortgage insurer’s “Available Assets” (generally only the most liquid assets of an insurer) must meet or exceed “Minimum Required Assets” (which are based on an insurer’s risk-in-force (“RIF”) and are calculated from tables of factors with several risk dimensions and are subject to a floor amount) and otherwise generally establish when a mortgage insurer is qualified to issue coverage that will be acceptable to the respective GSE for acquisition of high loan-to-value (“LTV”) mortgages. The GSEs may amend or waive PMIERs at their 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Federal Housing Finance Agency (“FHFA”) as and after they are implemented; (ii) 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credit risk transfer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w:t>
      </w:r>
    </w:p>
    <w:p>
      <w:pPr>
        <w:spacing w:after="0" w:line="131" w:lineRule="exact"/>
        <w:rPr>
          <w:sz w:val="20"/>
          <w:szCs w:val="20"/>
          <w:color w:val="auto"/>
        </w:rPr>
      </w:pPr>
    </w:p>
    <w:p>
      <w:pPr>
        <w:jc w:val="both"/>
        <w:ind w:firstLine="246"/>
        <w:spacing w:after="0" w:line="266" w:lineRule="auto"/>
        <w:rPr>
          <w:sz w:val="20"/>
          <w:szCs w:val="20"/>
          <w:color w:val="auto"/>
        </w:rPr>
      </w:pPr>
      <w:r>
        <w:rPr>
          <w:rFonts w:ascii="Arial" w:cs="Arial" w:eastAsia="Arial" w:hAnsi="Arial"/>
          <w:sz w:val="13"/>
          <w:szCs w:val="13"/>
          <w:color w:val="auto"/>
        </w:rPr>
        <w:t>The PMIERs Amendment implemented both permanent and temporary revisions to PMIERs. For loans that became non-performing due to a COVID-19 hardship, PMIERs was temporarily amended with respect to each non-performing loan that (i) had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5" w:name="page166"/>
    <w:bookmarkEnd w:id="165"/>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expense-sharing agreements, even if such insurer has a surplus of available assets. Therefore, the PMIERs Amendment may restrict or prevent GMICO from paying us dividends.</w:t>
      </w:r>
    </w:p>
    <w:p>
      <w:pPr>
        <w:spacing w:after="0" w:line="126"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PMIERs Amendment additionally imposes permanent revisions to the risk-based required asset amount factor for non-performing loans for properties located in future Federal Emergency Management Agency (“FEMA”)-Declared Major Disaster Areas eligible for individual assistance.</w:t>
      </w:r>
    </w:p>
    <w:p>
      <w:pPr>
        <w:spacing w:after="0" w:line="119"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Our assessment of PMIERs compliance is based on a number of factors, including our understanding of the GSEs’ interpretation of the PMIERs financial requirements. The GSEs require our mortgage insurance subsidiaries not to exceed a maximum statutory RTC ratio of 18:1 or they reserve the right to 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we may not be eligible to write new insurance on loans acquired by the GSEs, which would have a material adverse effect on our business, results of operations and financial condition.</w:t>
      </w:r>
    </w:p>
    <w:p>
      <w:pPr>
        <w:spacing w:after="0" w:line="12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We have met all PMIERs reporting requirements as required by the GSEs. As of December 31, 2021, we had available assets of $5,077 million against $3,074 million net required assets under PMIERs, compared to available assets of $4,588 million against $3,359 million net required assets as of December 31, 2020. The sufficiency above the published PMIERs financial requirements as of December 31, 2021, was $2,003 million, compared to $1,229 million above the published PMIERs requirements as of December 31, 2020, resulting in a PMIERs sufficiency ratio of 165% and 137% as of December 31, 2021 and 2020, respectively, which in each case, was above the requirement imposed by the GSE Restrictions that required us to maintain a PMIERs sufficiency ratio of 115% in 2020. In addition, our PMIERs required assets as of December 31, 2021 and December 31, 2020, benefited from the application of a 0.30 multiplier applied to the risk-based required asset amount factor for certain non-performing loans. The application of the 0.30 multiplier to all eligible delinquencies provided $390 million of benefit to our December 31, 2021 PMIERs required assets and $1,046 million to our December 31, 2020 required assets. Our CRT transactions provided an estimated aggregate of $1,404 million of PMIERs capital credit as of December 31, 2021 compared to $936 million on as of December 31, 2020.</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Dividend Restrictions</w:t>
      </w:r>
    </w:p>
    <w:p>
      <w:pPr>
        <w:spacing w:after="0" w:line="142"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The majority of our investments are held by our regulated U.S. mortgage insurance subsidiaries which may be limited in their ability to make dividends or distributions to a holding company in the future due to restrictions related to their capital levels. Our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our U.S. mortgage insurance subsidiaries are subject to review and potential disapproval by the North Carolina Commissioner of Insurance (the “Commissioner”). Within that general regulatory right of review process, there are three (3) minor procedural variances depending on (i) 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 which period the Commissioner may disapprove the proposed dividend or distribution. An “extraordinary dividend or distribution” is defined by statute as one, which combined with all others made in the preceding 12 months, exceeds the greater of (i) 10%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6" w:name="page167"/>
    <w:bookmarkEnd w:id="166"/>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37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 results as of December 31, 2021, in accordance with applicable dividend restrictions, our insurance subsidiaries could pay dividends of approximately $69.7 million from unassigned surplus in 2022 without obtaining prior regulatory approval, although notice of the intent to pay must be provided to the Commissioner 30 days in advance thereof during which period the Commissioner may review the dividend pursuant to statutory standards.</w:t>
      </w:r>
    </w:p>
    <w:p>
      <w:pPr>
        <w:spacing w:after="0" w:line="106" w:lineRule="exact"/>
        <w:rPr>
          <w:sz w:val="20"/>
          <w:szCs w:val="20"/>
          <w:color w:val="auto"/>
        </w:rPr>
      </w:pPr>
    </w:p>
    <w:p>
      <w:pPr>
        <w:ind w:left="500" w:hanging="498"/>
        <w:spacing w:after="0"/>
        <w:tabs>
          <w:tab w:leader="none" w:pos="500"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auto"/>
        </w:rPr>
        <w:t>Accumulated other comprehensive income (loss)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a roll-forward of accumulated other comprehensive income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unrealized gains (losses)</w:t>
            </w:r>
          </w:p>
        </w:tc>
        <w:tc>
          <w:tcPr>
            <w:tcW w:w="18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Foreign currency</w:t>
            </w:r>
          </w:p>
        </w:tc>
        <w:tc>
          <w:tcPr>
            <w:tcW w:w="380" w:type="dxa"/>
            <w:vAlign w:val="bottom"/>
          </w:tcPr>
          <w:p>
            <w:pPr>
              <w:spacing w:after="0"/>
              <w:rPr>
                <w:sz w:val="10"/>
                <w:szCs w:val="10"/>
                <w:color w:val="auto"/>
              </w:rPr>
            </w:pPr>
          </w:p>
        </w:tc>
        <w:tc>
          <w:tcPr>
            <w:tcW w:w="1200" w:type="dxa"/>
            <w:vAlign w:val="bottom"/>
            <w:vMerge w:val="restart"/>
          </w:tcPr>
          <w:p>
            <w:pPr>
              <w:jc w:val="right"/>
              <w:ind w:right="59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3"/>
        </w:trPr>
        <w:tc>
          <w:tcPr>
            <w:tcW w:w="5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140"/>
              <w:spacing w:after="0"/>
              <w:rPr>
                <w:sz w:val="20"/>
                <w:szCs w:val="20"/>
                <w:color w:val="auto"/>
              </w:rPr>
            </w:pPr>
            <w:r>
              <w:rPr>
                <w:rFonts w:ascii="Arial" w:cs="Arial" w:eastAsia="Arial" w:hAnsi="Arial"/>
                <w:sz w:val="11"/>
                <w:szCs w:val="11"/>
                <w:b w:val="1"/>
                <w:bCs w:val="1"/>
                <w:color w:val="auto"/>
              </w:rPr>
              <w:t>on investments</w:t>
            </w:r>
          </w:p>
        </w:tc>
        <w:tc>
          <w:tcPr>
            <w:tcW w:w="180" w:type="dxa"/>
            <w:vAlign w:val="bottom"/>
          </w:tcPr>
          <w:p>
            <w:pPr>
              <w:spacing w:after="0"/>
              <w:rPr>
                <w:sz w:val="11"/>
                <w:szCs w:val="11"/>
                <w:color w:val="auto"/>
              </w:rPr>
            </w:pPr>
          </w:p>
        </w:tc>
        <w:tc>
          <w:tcPr>
            <w:tcW w:w="1300" w:type="dxa"/>
            <w:vAlign w:val="bottom"/>
            <w:gridSpan w:val="2"/>
          </w:tcPr>
          <w:p>
            <w:pPr>
              <w:ind w:left="240"/>
              <w:spacing w:after="0"/>
              <w:rPr>
                <w:sz w:val="20"/>
                <w:szCs w:val="20"/>
                <w:color w:val="auto"/>
              </w:rPr>
            </w:pPr>
            <w:r>
              <w:rPr>
                <w:rFonts w:ascii="Arial" w:cs="Arial" w:eastAsia="Arial" w:hAnsi="Arial"/>
                <w:sz w:val="11"/>
                <w:szCs w:val="11"/>
                <w:b w:val="1"/>
                <w:bCs w:val="1"/>
                <w:color w:val="auto"/>
              </w:rPr>
              <w:t>translation</w:t>
            </w: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1, 2019, net of tax</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(26,522)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(26,522)</w:t>
            </w:r>
          </w:p>
        </w:tc>
        <w:tc>
          <w:tcPr>
            <w:tcW w:w="0" w:type="dxa"/>
            <w:vAlign w:val="bottom"/>
          </w:tcPr>
          <w:p>
            <w:pPr>
              <w:spacing w:after="0"/>
              <w:rPr>
                <w:sz w:val="1"/>
                <w:szCs w:val="1"/>
                <w:color w:val="auto"/>
              </w:rPr>
            </w:pPr>
          </w:p>
        </w:tc>
      </w:tr>
      <w:tr>
        <w:trPr>
          <w:trHeight w:val="174"/>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120,505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120,505</w:t>
            </w:r>
          </w:p>
        </w:tc>
        <w:tc>
          <w:tcPr>
            <w:tcW w:w="0" w:type="dxa"/>
            <w:vAlign w:val="bottom"/>
          </w:tcPr>
          <w:p>
            <w:pPr>
              <w:spacing w:after="0"/>
              <w:rPr>
                <w:sz w:val="1"/>
                <w:szCs w:val="1"/>
                <w:color w:val="auto"/>
              </w:rPr>
            </w:pPr>
          </w:p>
        </w:tc>
      </w:tr>
      <w:tr>
        <w:trPr>
          <w:trHeight w:val="174"/>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to other comprehensive income (loss)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5"/>
        </w:trPr>
        <w:tc>
          <w:tcPr>
            <w:tcW w:w="5820" w:type="dxa"/>
            <w:vAlign w:val="bottom"/>
          </w:tcPr>
          <w:p>
            <w:pPr>
              <w:ind w:left="20"/>
              <w:spacing w:after="0"/>
              <w:rPr>
                <w:sz w:val="20"/>
                <w:szCs w:val="20"/>
                <w:color w:val="auto"/>
              </w:rPr>
            </w:pPr>
            <w:r>
              <w:rPr>
                <w:rFonts w:ascii="Arial" w:cs="Arial" w:eastAsia="Arial" w:hAnsi="Arial"/>
                <w:sz w:val="14"/>
                <w:szCs w:val="14"/>
                <w:color w:val="auto"/>
              </w:rPr>
              <w:t>Total other comprehensive income (loss)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119,953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119,953</w:t>
            </w:r>
          </w:p>
        </w:tc>
        <w:tc>
          <w:tcPr>
            <w:tcW w:w="0" w:type="dxa"/>
            <w:vAlign w:val="bottom"/>
          </w:tcPr>
          <w:p>
            <w:pPr>
              <w:spacing w:after="0"/>
              <w:rPr>
                <w:sz w:val="1"/>
                <w:szCs w:val="1"/>
                <w:color w:val="auto"/>
              </w:rPr>
            </w:pPr>
          </w:p>
        </w:tc>
      </w:tr>
      <w:tr>
        <w:trPr>
          <w:trHeight w:val="165"/>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1, 2020, net of tax</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93,431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93,431</w:t>
            </w:r>
          </w:p>
        </w:tc>
        <w:tc>
          <w:tcPr>
            <w:tcW w:w="0" w:type="dxa"/>
            <w:vAlign w:val="bottom"/>
          </w:tcPr>
          <w:p>
            <w:pPr>
              <w:spacing w:after="0"/>
              <w:rPr>
                <w:sz w:val="1"/>
                <w:szCs w:val="1"/>
                <w:color w:val="auto"/>
              </w:rPr>
            </w:pPr>
          </w:p>
        </w:tc>
      </w:tr>
      <w:tr>
        <w:trPr>
          <w:trHeight w:val="164"/>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112,307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112,307</w:t>
            </w:r>
          </w:p>
        </w:tc>
        <w:tc>
          <w:tcPr>
            <w:tcW w:w="0" w:type="dxa"/>
            <w:vAlign w:val="bottom"/>
          </w:tcPr>
          <w:p>
            <w:pPr>
              <w:spacing w:after="0"/>
              <w:rPr>
                <w:sz w:val="1"/>
                <w:szCs w:val="1"/>
                <w:color w:val="auto"/>
              </w:rPr>
            </w:pPr>
          </w:p>
        </w:tc>
      </w:tr>
      <w:tr>
        <w:trPr>
          <w:trHeight w:val="174"/>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to other comprehensive income (loss)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65"/>
        </w:trPr>
        <w:tc>
          <w:tcPr>
            <w:tcW w:w="5820" w:type="dxa"/>
            <w:vAlign w:val="bottom"/>
          </w:tcPr>
          <w:p>
            <w:pPr>
              <w:ind w:left="20"/>
              <w:spacing w:after="0"/>
              <w:rPr>
                <w:sz w:val="20"/>
                <w:szCs w:val="20"/>
                <w:color w:val="auto"/>
              </w:rPr>
            </w:pPr>
            <w:r>
              <w:rPr>
                <w:rFonts w:ascii="Arial" w:cs="Arial" w:eastAsia="Arial" w:hAnsi="Arial"/>
                <w:sz w:val="14"/>
                <w:szCs w:val="14"/>
                <w:color w:val="auto"/>
              </w:rPr>
              <w:t>Total other comprehensive income (loss)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114,947</w:t>
            </w:r>
          </w:p>
        </w:tc>
        <w:tc>
          <w:tcPr>
            <w:tcW w:w="0" w:type="dxa"/>
            <w:vAlign w:val="bottom"/>
          </w:tcPr>
          <w:p>
            <w:pPr>
              <w:spacing w:after="0"/>
              <w:rPr>
                <w:sz w:val="1"/>
                <w:szCs w:val="1"/>
                <w:color w:val="auto"/>
              </w:rPr>
            </w:pPr>
          </w:p>
        </w:tc>
      </w:tr>
      <w:tr>
        <w:trPr>
          <w:trHeight w:val="165"/>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 net of tax</w:t>
            </w:r>
          </w:p>
        </w:tc>
        <w:tc>
          <w:tcPr>
            <w:tcW w:w="2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208,378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208,378</w:t>
            </w:r>
          </w:p>
        </w:tc>
        <w:tc>
          <w:tcPr>
            <w:tcW w:w="0" w:type="dxa"/>
            <w:vAlign w:val="bottom"/>
          </w:tcPr>
          <w:p>
            <w:pPr>
              <w:spacing w:after="0"/>
              <w:rPr>
                <w:sz w:val="1"/>
                <w:szCs w:val="1"/>
                <w:color w:val="auto"/>
              </w:rPr>
            </w:pPr>
          </w:p>
        </w:tc>
      </w:tr>
      <w:tr>
        <w:trPr>
          <w:trHeight w:val="174"/>
        </w:trPr>
        <w:tc>
          <w:tcPr>
            <w:tcW w:w="5820" w:type="dxa"/>
            <w:vAlign w:val="bottom"/>
          </w:tcPr>
          <w:p>
            <w:pPr>
              <w:ind w:left="20"/>
              <w:spacing w:after="0"/>
              <w:rPr>
                <w:sz w:val="20"/>
                <w:szCs w:val="20"/>
                <w:color w:val="auto"/>
              </w:rPr>
            </w:pPr>
            <w:r>
              <w:rPr>
                <w:rFonts w:ascii="Arial" w:cs="Arial" w:eastAsia="Arial" w:hAnsi="Arial"/>
                <w:sz w:val="14"/>
                <w:szCs w:val="14"/>
                <w:color w:val="auto"/>
              </w:rPr>
              <w:t>Cumulative effect of changes in accounting</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4"/>
                <w:szCs w:val="14"/>
                <w:color w:val="auto"/>
                <w:w w:val="93"/>
              </w:rPr>
              <w:t>(7)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(124,915)</w:t>
            </w:r>
          </w:p>
        </w:tc>
        <w:tc>
          <w:tcPr>
            <w:tcW w:w="0" w:type="dxa"/>
            <w:vAlign w:val="bottom"/>
          </w:tcPr>
          <w:p>
            <w:pPr>
              <w:spacing w:after="0"/>
              <w:rPr>
                <w:sz w:val="1"/>
                <w:szCs w:val="1"/>
                <w:color w:val="auto"/>
              </w:rPr>
            </w:pPr>
          </w:p>
        </w:tc>
      </w:tr>
      <w:tr>
        <w:trPr>
          <w:trHeight w:val="174"/>
        </w:trPr>
        <w:tc>
          <w:tcPr>
            <w:tcW w:w="5820" w:type="dxa"/>
            <w:vAlign w:val="bottom"/>
          </w:tcPr>
          <w:p>
            <w:pPr>
              <w:ind w:left="20"/>
              <w:spacing w:after="0"/>
              <w:rPr>
                <w:sz w:val="20"/>
                <w:szCs w:val="20"/>
                <w:color w:val="auto"/>
              </w:rPr>
            </w:pPr>
            <w:r>
              <w:rPr>
                <w:rFonts w:ascii="Arial" w:cs="Arial" w:eastAsia="Arial" w:hAnsi="Arial"/>
                <w:sz w:val="14"/>
                <w:szCs w:val="14"/>
                <w:color w:val="auto"/>
              </w:rPr>
              <w:t>Amounts reclassified (from) to other comprehensive income (loss)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5"/>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and other adjustments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(124,790)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b w:val="1"/>
                <w:bCs w:val="1"/>
                <w:color w:val="auto"/>
                <w:w w:val="93"/>
              </w:rPr>
              <w:t>(7)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(124,797)</w:t>
            </w:r>
          </w:p>
        </w:tc>
        <w:tc>
          <w:tcPr>
            <w:tcW w:w="0" w:type="dxa"/>
            <w:vAlign w:val="bottom"/>
          </w:tcPr>
          <w:p>
            <w:pPr>
              <w:spacing w:after="0"/>
              <w:rPr>
                <w:sz w:val="1"/>
                <w:szCs w:val="1"/>
                <w:color w:val="auto"/>
              </w:rPr>
            </w:pPr>
          </w:p>
        </w:tc>
      </w:tr>
      <w:tr>
        <w:trPr>
          <w:trHeight w:val="165"/>
        </w:trPr>
        <w:tc>
          <w:tcPr>
            <w:tcW w:w="5820" w:type="dxa"/>
            <w:vAlign w:val="bottom"/>
          </w:tcPr>
          <w:p>
            <w:pPr>
              <w:ind w:left="20"/>
              <w:spacing w:after="0"/>
              <w:rPr>
                <w:sz w:val="20"/>
                <w:szCs w:val="20"/>
                <w:color w:val="auto"/>
              </w:rPr>
            </w:pPr>
            <w:r>
              <w:rPr>
                <w:rFonts w:ascii="Arial" w:cs="Arial" w:eastAsia="Arial" w:hAnsi="Arial"/>
                <w:sz w:val="14"/>
                <w:szCs w:val="14"/>
                <w:color w:val="auto"/>
              </w:rPr>
              <w:t>Balance December 31, 2021, net of tax</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83,588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w w:val="93"/>
              </w:rPr>
              <w:t>(7)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83,581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following table presents the effect of the reclassification of significant items out of accumulated other comprehensive income (loss) on the respective line items of the consolidated statements of income: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Amounts reclassified</w:t>
            </w: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133"/>
        </w:trPr>
        <w:tc>
          <w:tcPr>
            <w:tcW w:w="35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gridSpan w:val="6"/>
          </w:tcPr>
          <w:p>
            <w:pPr>
              <w:jc w:val="center"/>
              <w:ind w:left="58"/>
              <w:spacing w:after="0"/>
              <w:rPr>
                <w:sz w:val="20"/>
                <w:szCs w:val="20"/>
                <w:color w:val="auto"/>
              </w:rPr>
            </w:pPr>
            <w:r>
              <w:rPr>
                <w:rFonts w:ascii="Arial" w:cs="Arial" w:eastAsia="Arial" w:hAnsi="Arial"/>
                <w:sz w:val="11"/>
                <w:szCs w:val="11"/>
                <w:b w:val="1"/>
                <w:bCs w:val="1"/>
                <w:color w:val="auto"/>
                <w:w w:val="99"/>
              </w:rPr>
              <w:t>from accumulated other comprehensive income (loss)</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9"/>
              </w:rPr>
              <w:t>Affected line item in consolidated</w:t>
            </w:r>
          </w:p>
        </w:tc>
      </w:tr>
      <w:tr>
        <w:trPr>
          <w:trHeight w:val="1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statement of income</w:t>
            </w:r>
          </w:p>
        </w:tc>
      </w:tr>
      <w:tr>
        <w:trPr>
          <w:trHeight w:val="165"/>
        </w:trPr>
        <w:tc>
          <w:tcPr>
            <w:tcW w:w="3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unrealized gains (losses) on investments</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8"/>
              <w:spacing w:after="0"/>
              <w:rPr>
                <w:sz w:val="20"/>
                <w:szCs w:val="20"/>
                <w:color w:val="auto"/>
              </w:rPr>
            </w:pPr>
            <w:r>
              <w:rPr>
                <w:rFonts w:ascii="Arial" w:cs="Arial" w:eastAsia="Arial" w:hAnsi="Arial"/>
                <w:sz w:val="14"/>
                <w:szCs w:val="14"/>
                <w:color w:val="auto"/>
                <w:w w:val="76"/>
              </w:rPr>
              <w:t>$</w:t>
            </w: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698  Net investment gains (losses)</w:t>
            </w:r>
          </w:p>
        </w:tc>
      </w:tr>
      <w:tr>
        <w:trPr>
          <w:trHeight w:val="173"/>
        </w:trPr>
        <w:tc>
          <w:tcPr>
            <w:tcW w:w="3580" w:type="dxa"/>
            <w:vAlign w:val="bottom"/>
          </w:tcPr>
          <w:p>
            <w:pPr>
              <w:ind w:left="20"/>
              <w:spacing w:after="0"/>
              <w:rPr>
                <w:sz w:val="20"/>
                <w:szCs w:val="20"/>
                <w:color w:val="auto"/>
              </w:rPr>
            </w:pPr>
            <w:r>
              <w:rPr>
                <w:rFonts w:ascii="Arial" w:cs="Arial" w:eastAsia="Arial" w:hAnsi="Arial"/>
                <w:sz w:val="14"/>
                <w:szCs w:val="14"/>
                <w:color w:val="auto"/>
              </w:rPr>
              <w:t>Benefit (expense) for income taxes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0" w:type="dxa"/>
            <w:vAlign w:val="bottom"/>
            <w:gridSpan w:val="3"/>
          </w:tcPr>
          <w:p>
            <w:pPr>
              <w:ind w:left="100"/>
              <w:spacing w:after="0"/>
              <w:rPr>
                <w:sz w:val="20"/>
                <w:szCs w:val="20"/>
                <w:color w:val="auto"/>
              </w:rPr>
            </w:pPr>
            <w:r>
              <w:rPr>
                <w:rFonts w:ascii="Arial" w:cs="Arial" w:eastAsia="Arial" w:hAnsi="Arial"/>
                <w:sz w:val="14"/>
                <w:szCs w:val="14"/>
                <w:color w:val="auto"/>
              </w:rPr>
              <w:t>(147)  Provision for income taxes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7" w:name="page168"/>
    <w:bookmarkEnd w:id="167"/>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0" w:lineRule="exact"/>
        <w:rPr>
          <w:sz w:val="20"/>
          <w:szCs w:val="20"/>
          <w:color w:val="auto"/>
        </w:rPr>
      </w:pPr>
    </w:p>
    <w:p>
      <w:pPr>
        <w:spacing w:after="0" w:line="239" w:lineRule="exact"/>
        <w:rPr>
          <w:sz w:val="20"/>
          <w:szCs w:val="20"/>
          <w:color w:val="auto"/>
        </w:rPr>
      </w:pPr>
    </w:p>
    <w:p>
      <w:pPr>
        <w:ind w:left="500" w:hanging="498"/>
        <w:spacing w:after="0"/>
        <w:tabs>
          <w:tab w:leader="none" w:pos="50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The basic earnings per share computation is based on the weighted average number of shares of common stock outstanding. For the year ended December 31, 2021, the calculation of dilutive weighted average shares considers the impact of restricted stock units issued to employees as well deferred stock units issued to our directors. For the years ended December 31, 2020 and 2019, we had no instruments outstanding that would be dilutive to earnings per share.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the computation of earnings per share for the years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38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 except per share amounts)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available to EHI common stockholders</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546,685</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370,421</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677,628</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Net income per common share: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3.36</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2.27</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Diluted</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3.36</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2.27</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5"/>
                <w:szCs w:val="15"/>
                <w:color w:val="auto"/>
              </w:rPr>
            </w:pP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162,840</w:t>
            </w:r>
          </w:p>
        </w:tc>
        <w:tc>
          <w:tcPr>
            <w:tcW w:w="440" w:type="dxa"/>
            <w:vAlign w:val="bottom"/>
          </w:tcPr>
          <w:p>
            <w:pPr>
              <w:spacing w:after="0"/>
              <w:rPr>
                <w:sz w:val="15"/>
                <w:szCs w:val="15"/>
                <w:color w:val="auto"/>
              </w:rPr>
            </w:pP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162,840</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162,840</w:t>
            </w: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162,879</w:t>
            </w: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162,840</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8" w:name="page169"/>
    <w:bookmarkEnd w:id="168"/>
    <w:p>
      <w:pPr>
        <w:ind w:left="5240"/>
        <w:spacing w:after="0"/>
        <w:rPr>
          <w:sz w:val="20"/>
          <w:szCs w:val="20"/>
          <w:color w:val="auto"/>
        </w:rPr>
      </w:pPr>
      <w:r>
        <w:rPr>
          <w:rFonts w:ascii="Arial" w:cs="Arial" w:eastAsia="Arial" w:hAnsi="Arial"/>
          <w:sz w:val="14"/>
          <w:szCs w:val="14"/>
          <w:b w:val="1"/>
          <w:bCs w:val="1"/>
          <w:color w:val="auto"/>
        </w:rPr>
        <w:t>SCHEDULE 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26"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Summary of Investments—Other Than Investments in Related Parties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of December 31, 2021, the amortized cost, fair value and carrying value of our invested assets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40" w:type="dxa"/>
            <w:vAlign w:val="bottom"/>
          </w:tcPr>
          <w:p>
            <w:pPr>
              <w:spacing w:after="0"/>
              <w:rPr>
                <w:sz w:val="12"/>
                <w:szCs w:val="12"/>
                <w:color w:val="auto"/>
              </w:rPr>
            </w:pPr>
          </w:p>
        </w:tc>
        <w:tc>
          <w:tcPr>
            <w:tcW w:w="142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Amortized cost</w:t>
            </w:r>
          </w:p>
        </w:tc>
        <w:tc>
          <w:tcPr>
            <w:tcW w:w="320" w:type="dxa"/>
            <w:vAlign w:val="bottom"/>
          </w:tcPr>
          <w:p>
            <w:pPr>
              <w:spacing w:after="0"/>
              <w:rPr>
                <w:sz w:val="12"/>
                <w:szCs w:val="12"/>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Fair value</w:t>
            </w:r>
          </w:p>
        </w:tc>
        <w:tc>
          <w:tcPr>
            <w:tcW w:w="260" w:type="dxa"/>
            <w:vAlign w:val="bottom"/>
          </w:tcPr>
          <w:p>
            <w:pPr>
              <w:spacing w:after="0"/>
              <w:rPr>
                <w:sz w:val="12"/>
                <w:szCs w:val="12"/>
                <w:color w:val="auto"/>
              </w:rPr>
            </w:pPr>
          </w:p>
        </w:tc>
        <w:tc>
          <w:tcPr>
            <w:tcW w:w="1320" w:type="dxa"/>
            <w:vAlign w:val="bottom"/>
          </w:tcPr>
          <w:p>
            <w:pPr>
              <w:jc w:val="right"/>
              <w:ind w:right="333"/>
              <w:spacing w:after="0"/>
              <w:rPr>
                <w:sz w:val="20"/>
                <w:szCs w:val="20"/>
                <w:color w:val="auto"/>
              </w:rPr>
            </w:pPr>
            <w:r>
              <w:rPr>
                <w:rFonts w:ascii="Arial" w:cs="Arial" w:eastAsia="Arial" w:hAnsi="Arial"/>
                <w:sz w:val="11"/>
                <w:szCs w:val="11"/>
                <w:b w:val="1"/>
                <w:bCs w:val="1"/>
                <w:color w:val="auto"/>
              </w:rPr>
              <w:t>Carrying value</w:t>
            </w:r>
          </w:p>
        </w:tc>
      </w:tr>
      <w:tr>
        <w:trPr>
          <w:trHeight w:val="165"/>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agencies and GSEs</w:t>
            </w:r>
          </w:p>
        </w:tc>
        <w:tc>
          <w:tcPr>
            <w:tcW w:w="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56,547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58,408</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State and political subdivisions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531,927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538,453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538,453</w:t>
            </w: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government</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22,416</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2,863,100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2,945,303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2,945,303</w:t>
            </w: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corporate</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652,503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666,594</w:t>
            </w: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asset-backed</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1,033,739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1,035,165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1,035,165</w:t>
            </w: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5,160,174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5,266,339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5,266,339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69" w:name="page170"/>
    <w:bookmarkEnd w:id="169"/>
    <w:p>
      <w:pPr>
        <w:ind w:left="5220"/>
        <w:spacing w:after="0"/>
        <w:rPr>
          <w:sz w:val="20"/>
          <w:szCs w:val="20"/>
          <w:color w:val="auto"/>
        </w:rPr>
      </w:pPr>
      <w:r>
        <w:rPr>
          <w:rFonts w:ascii="Arial" w:cs="Arial" w:eastAsia="Arial" w:hAnsi="Arial"/>
          <w:sz w:val="14"/>
          <w:szCs w:val="14"/>
          <w:b w:val="1"/>
          <w:bCs w:val="1"/>
          <w:color w:val="auto"/>
        </w:rPr>
        <w:t>SCHEDULE II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(PARENT COMPANY ONLY)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54"/>
        </w:trPr>
        <w:tc>
          <w:tcPr>
            <w:tcW w:w="8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Investments in subsidiaries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4,597,088</w:t>
            </w:r>
          </w:p>
        </w:tc>
        <w:tc>
          <w:tcPr>
            <w:tcW w:w="80" w:type="dxa"/>
            <w:vAlign w:val="bottom"/>
          </w:tcPr>
          <w:p>
            <w:pPr>
              <w:spacing w:after="0"/>
              <w:rPr>
                <w:sz w:val="15"/>
                <w:szCs w:val="15"/>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4,333,551</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264,207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300,318</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4,865,026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4,637,701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line="155" w:lineRule="exact"/>
              <w:rPr>
                <w:sz w:val="20"/>
                <w:szCs w:val="20"/>
                <w:color w:val="auto"/>
              </w:rPr>
            </w:pPr>
            <w:r>
              <w:rPr>
                <w:rFonts w:ascii="Arial" w:cs="Arial" w:eastAsia="Arial" w:hAnsi="Arial"/>
                <w:sz w:val="14"/>
                <w:szCs w:val="14"/>
                <w:b w:val="1"/>
                <w:bCs w:val="1"/>
                <w:color w:val="auto"/>
              </w:rPr>
              <w:t>Liabilities and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19,087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17,728</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borrowings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740,416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738,162</w:t>
            </w: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759,503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755,890</w:t>
            </w:r>
          </w:p>
        </w:tc>
        <w:tc>
          <w:tcPr>
            <w:tcW w:w="0" w:type="dxa"/>
            <w:vAlign w:val="bottom"/>
          </w:tcPr>
          <w:p>
            <w:pPr>
              <w:spacing w:after="0"/>
              <w:rPr>
                <w:sz w:val="1"/>
                <w:szCs w:val="1"/>
                <w:color w:val="auto"/>
              </w:rPr>
            </w:pPr>
          </w:p>
        </w:tc>
      </w:tr>
      <w:tr>
        <w:trPr>
          <w:trHeight w:val="154"/>
        </w:trPr>
        <w:tc>
          <w:tcPr>
            <w:tcW w:w="8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Equity:</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2,371,861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2,368,699</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83,581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208,378</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1,648,453</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1,303,106</w:t>
            </w: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4,105,523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3,881,811</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4,865,026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4,637,701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Schedule II</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0" w:name="page171"/>
    <w:bookmarkEnd w:id="170"/>
    <w:p>
      <w:pPr>
        <w:ind w:left="5220"/>
        <w:spacing w:after="0"/>
        <w:rPr>
          <w:sz w:val="20"/>
          <w:szCs w:val="20"/>
          <w:color w:val="auto"/>
        </w:rPr>
      </w:pPr>
      <w:r>
        <w:rPr>
          <w:rFonts w:ascii="Arial" w:cs="Arial" w:eastAsia="Arial" w:hAnsi="Arial"/>
          <w:sz w:val="14"/>
          <w:szCs w:val="14"/>
          <w:b w:val="1"/>
          <w:bCs w:val="1"/>
          <w:color w:val="auto"/>
        </w:rPr>
        <w:t>SCHEDULE II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(PARENT COMPANY ONLY)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Years ended</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33"/>
        </w:trPr>
        <w:tc>
          <w:tcPr>
            <w:tcW w:w="6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7"/>
              </w:rPr>
              <w:t>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2019</w:t>
            </w:r>
          </w:p>
        </w:tc>
      </w:tr>
      <w:tr>
        <w:trPr>
          <w:trHeight w:val="154"/>
        </w:trPr>
        <w:tc>
          <w:tcPr>
            <w:tcW w:w="6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Revenues: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investment income</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4"/>
        </w:trPr>
        <w:tc>
          <w:tcPr>
            <w:tcW w:w="638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operating expenses, net of deferrals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51,009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Loss before income taxes and equity in income of subsidiaries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(55,466)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(18,222)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for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Loss before equity in income of subsidiaries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(43,783)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(14,391)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income of subsidiaries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590,468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384,812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677,628</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546,685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370,421</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677,628</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Schedule II</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1" w:name="page172"/>
    <w:bookmarkEnd w:id="171"/>
    <w:p>
      <w:pPr>
        <w:ind w:left="5220"/>
        <w:spacing w:after="0"/>
        <w:rPr>
          <w:sz w:val="20"/>
          <w:szCs w:val="20"/>
          <w:color w:val="auto"/>
        </w:rPr>
      </w:pPr>
      <w:r>
        <w:rPr>
          <w:rFonts w:ascii="Arial" w:cs="Arial" w:eastAsia="Arial" w:hAnsi="Arial"/>
          <w:sz w:val="14"/>
          <w:szCs w:val="14"/>
          <w:b w:val="1"/>
          <w:bCs w:val="1"/>
          <w:color w:val="auto"/>
        </w:rPr>
        <w:t>SCHEDULE II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(PARENT COMPANY ONLY)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Comprehensive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Years ended</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33"/>
        </w:trPr>
        <w:tc>
          <w:tcPr>
            <w:tcW w:w="6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7"/>
              </w:rPr>
              <w:t>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677,628</w:t>
            </w: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unrealized gains (losses) on securities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119,953</w:t>
            </w: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(125,078)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114,947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119,953</w:t>
            </w:r>
          </w:p>
        </w:tc>
      </w:tr>
      <w:tr>
        <w:trPr>
          <w:trHeight w:val="165"/>
        </w:trPr>
        <w:tc>
          <w:tcPr>
            <w:tcW w:w="638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421,607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485,368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797,581</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Schedule II</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2" w:name="page173"/>
    <w:bookmarkEnd w:id="172"/>
    <w:p>
      <w:pPr>
        <w:ind w:left="5220"/>
        <w:spacing w:after="0"/>
        <w:rPr>
          <w:sz w:val="20"/>
          <w:szCs w:val="20"/>
          <w:color w:val="auto"/>
        </w:rPr>
      </w:pPr>
      <w:r>
        <w:rPr>
          <w:rFonts w:ascii="Arial" w:cs="Arial" w:eastAsia="Arial" w:hAnsi="Arial"/>
          <w:sz w:val="14"/>
          <w:szCs w:val="14"/>
          <w:b w:val="1"/>
          <w:bCs w:val="1"/>
          <w:color w:val="auto"/>
        </w:rPr>
        <w:t>SCHEDULE II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(PARENT COMPANY ONLY)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Years ended</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7"/>
              </w:rPr>
              <w:t>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546,685</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370,421</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677,628</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provided by operating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Equity in income from subsidiaries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(590,468)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(384,812)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(677,628)</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from subsidiaries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250,008</w:t>
            </w: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Change in certain assets and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191,494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250,000</w:t>
            </w:r>
          </w:p>
        </w:tc>
        <w:tc>
          <w:tcPr>
            <w:tcW w:w="0" w:type="dxa"/>
            <w:vAlign w:val="bottom"/>
          </w:tcPr>
          <w:p>
            <w:pPr>
              <w:spacing w:after="0"/>
              <w:rPr>
                <w:sz w:val="1"/>
                <w:szCs w:val="1"/>
                <w:color w:val="auto"/>
              </w:rPr>
            </w:pPr>
          </w:p>
        </w:tc>
      </w:tr>
      <w:tr>
        <w:trPr>
          <w:trHeight w:val="154"/>
        </w:trPr>
        <w:tc>
          <w:tcPr>
            <w:tcW w:w="6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Purchase of equity interest</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(27,304)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the issuance of long-term debt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737,651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Dividends paid</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(200,294)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(437,353)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(200,294)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300,298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(250,000)</w:t>
            </w:r>
          </w:p>
        </w:tc>
        <w:tc>
          <w:tcPr>
            <w:tcW w:w="0" w:type="dxa"/>
            <w:vAlign w:val="bottom"/>
          </w:tcPr>
          <w:p>
            <w:pPr>
              <w:spacing w:after="0"/>
              <w:rPr>
                <w:sz w:val="1"/>
                <w:szCs w:val="1"/>
                <w:color w:val="auto"/>
              </w:rPr>
            </w:pPr>
          </w:p>
        </w:tc>
      </w:tr>
      <w:tr>
        <w:trPr>
          <w:trHeight w:val="174"/>
        </w:trPr>
        <w:tc>
          <w:tcPr>
            <w:tcW w:w="63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300,315</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264,207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300,318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capital contributions from Genworth</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r>
        <w:trPr>
          <w:trHeight w:val="173"/>
        </w:trPr>
        <w:tc>
          <w:tcPr>
            <w:tcW w:w="6380" w:type="dxa"/>
            <w:vAlign w:val="bottom"/>
          </w:tcPr>
          <w:p>
            <w:pPr>
              <w:ind w:left="20"/>
              <w:spacing w:after="0"/>
              <w:rPr>
                <w:sz w:val="20"/>
                <w:szCs w:val="20"/>
                <w:color w:val="auto"/>
              </w:rPr>
            </w:pPr>
            <w:r>
              <w:rPr>
                <w:rFonts w:ascii="Arial" w:cs="Arial" w:eastAsia="Arial" w:hAnsi="Arial"/>
                <w:sz w:val="14"/>
                <w:szCs w:val="14"/>
                <w:color w:val="auto"/>
              </w:rPr>
              <w:t>Non-cash capital contributions to subsidiaries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(903)</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(6,721)</w:t>
            </w:r>
          </w:p>
        </w:tc>
        <w:tc>
          <w:tcPr>
            <w:tcW w:w="8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Schedule II</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3" w:name="page174"/>
    <w:bookmarkEnd w:id="173"/>
    <w:p>
      <w:pPr>
        <w:ind w:left="5220"/>
        <w:spacing w:after="0"/>
        <w:rPr>
          <w:sz w:val="20"/>
          <w:szCs w:val="20"/>
          <w:color w:val="auto"/>
        </w:rPr>
      </w:pPr>
      <w:r>
        <w:rPr>
          <w:rFonts w:ascii="Arial" w:cs="Arial" w:eastAsia="Arial" w:hAnsi="Arial"/>
          <w:sz w:val="14"/>
          <w:szCs w:val="14"/>
          <w:b w:val="1"/>
          <w:bCs w:val="1"/>
          <w:color w:val="auto"/>
        </w:rPr>
        <w:t>SCHEDULE II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(PARENT COMPANY ONLY)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Schedule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111" w:lineRule="exact"/>
        <w:rPr>
          <w:sz w:val="20"/>
          <w:szCs w:val="20"/>
          <w:color w:val="auto"/>
        </w:rPr>
      </w:pPr>
    </w:p>
    <w:p>
      <w:pPr>
        <w:ind w:left="480" w:hanging="478"/>
        <w:spacing w:after="0"/>
        <w:tabs>
          <w:tab w:leader="none" w:pos="480"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purpose</w:t>
      </w:r>
    </w:p>
    <w:p>
      <w:pPr>
        <w:spacing w:after="0" w:line="142" w:lineRule="exact"/>
        <w:rPr>
          <w:sz w:val="20"/>
          <w:szCs w:val="20"/>
          <w:color w:val="auto"/>
        </w:rPr>
      </w:pPr>
    </w:p>
    <w:p>
      <w:pPr>
        <w:jc w:val="both"/>
        <w:ind w:firstLine="246"/>
        <w:spacing w:after="0" w:line="269" w:lineRule="auto"/>
        <w:rPr>
          <w:sz w:val="20"/>
          <w:szCs w:val="20"/>
          <w:color w:val="auto"/>
        </w:rPr>
      </w:pPr>
      <w:r>
        <w:rPr>
          <w:rFonts w:ascii="Arial" w:cs="Arial" w:eastAsia="Arial" w:hAnsi="Arial"/>
          <w:sz w:val="13"/>
          <w:szCs w:val="13"/>
          <w:color w:val="auto"/>
        </w:rPr>
        <w:t>Enact Holdings, Inc. (“EHI”) has been a subsidiary of Genworth since EHI’s incorporation in Delaware in 2012. On May 3, 2021, EHI amended its certificate of incorporation to change its name from Genworth Mortgage Holdings, Inc. Concurrently, we entered into a share exchange agreement with Genworth Holdings, Inc. (“Genworth Holdings”), pursuant to which Genworth Holdings exchanged the 100 shares of our common stock owned by it, representing all of our issued and outstanding capital stock, for 162,840,000 newly-issued shares of common stock, par value $0.01, of EHI. All of the share and per share information presented in the consolidated financial statements, notes to the consolidated financial statements and supplemental schedules to the financial statements has been adjusted to reflect the share exchange on a retroactive basis for all periods and as of all dates presented.</w:t>
      </w:r>
    </w:p>
    <w:p>
      <w:pPr>
        <w:spacing w:after="0" w:line="106"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On November 29, 2019, Genworth completed a holding company reorganization whereby Genworth contributed 100% of the issued and outstanding voting securities of EHI to Genworth Holdings, Inc. (“Genworth Holdings”). Post-contribution, EHI was a direct, wholly owned subsidiary of Genworth Holdings, and Genworth Holdings is still a direct, wholly owned subsidiary of Genworth. EHI is a holding company whose subsidiaries offer U.S. mortgage insurance products.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November 2021, we completed the acquisition of Genworth Financial Mauritius Holdings Limited from Genworth Financial International Holdings. Refer to Note 3 for further details.</w:t>
      </w:r>
    </w:p>
    <w:p>
      <w:pPr>
        <w:spacing w:after="0" w:line="122" w:lineRule="exact"/>
        <w:rPr>
          <w:sz w:val="20"/>
          <w:szCs w:val="20"/>
          <w:color w:val="auto"/>
        </w:rPr>
      </w:pPr>
    </w:p>
    <w:p>
      <w:pPr>
        <w:ind w:left="480" w:hanging="478"/>
        <w:spacing w:after="0"/>
        <w:tabs>
          <w:tab w:leader="none" w:pos="48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 accompanying EHI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EHI includes equity in the income of subsidiaries in its statements of income, which represents the net income of each of its consolidated subsidiaries.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0" w:type="dxa"/>
            <w:vAlign w:val="bottom"/>
          </w:tcPr>
          <w:p>
            <w:pPr>
              <w:spacing w:after="0"/>
              <w:rPr>
                <w:sz w:val="20"/>
                <w:szCs w:val="20"/>
                <w:color w:val="auto"/>
              </w:rPr>
            </w:pPr>
            <w:r>
              <w:rPr>
                <w:rFonts w:ascii="Arial" w:cs="Arial" w:eastAsia="Arial" w:hAnsi="Arial"/>
                <w:sz w:val="14"/>
                <w:szCs w:val="14"/>
                <w:b w:val="1"/>
                <w:bCs w:val="1"/>
                <w:color w:val="auto"/>
              </w:rPr>
              <w:t>(3)</w:t>
            </w:r>
          </w:p>
        </w:tc>
        <w:tc>
          <w:tcPr>
            <w:tcW w:w="7840" w:type="dxa"/>
            <w:vAlign w:val="bottom"/>
          </w:tcPr>
          <w:p>
            <w:pPr>
              <w:ind w:left="280"/>
              <w:spacing w:after="0"/>
              <w:rPr>
                <w:sz w:val="20"/>
                <w:szCs w:val="20"/>
                <w:color w:val="auto"/>
              </w:rPr>
            </w:pPr>
            <w:r>
              <w:rPr>
                <w:rFonts w:ascii="Arial" w:cs="Arial" w:eastAsia="Arial" w:hAnsi="Arial"/>
                <w:sz w:val="14"/>
                <w:szCs w:val="14"/>
                <w:b w:val="1"/>
                <w:bCs w:val="1"/>
                <w:color w:val="auto"/>
              </w:rPr>
              <w:t>Borrowings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87"/>
        </w:trPr>
        <w:tc>
          <w:tcPr>
            <w:tcW w:w="200" w:type="dxa"/>
            <w:vAlign w:val="bottom"/>
          </w:tcPr>
          <w:p>
            <w:pPr>
              <w:spacing w:after="0"/>
              <w:rPr>
                <w:sz w:val="24"/>
                <w:szCs w:val="24"/>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The following table sets forth long-term borrowings as of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r>
      <w:tr>
        <w:trPr>
          <w:trHeight w:val="16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6.5% Senior Notes, due 2025</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r>
      <w:tr>
        <w:trPr>
          <w:trHeight w:val="174"/>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Deferred borrowing charges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(11,838)</w:t>
            </w:r>
          </w:p>
        </w:tc>
      </w:tr>
      <w:tr>
        <w:trPr>
          <w:trHeight w:val="19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740,416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738,162</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246"/>
        <w:spacing w:after="0" w:line="245" w:lineRule="auto"/>
        <w:rPr>
          <w:sz w:val="20"/>
          <w:szCs w:val="20"/>
          <w:color w:val="auto"/>
        </w:rPr>
      </w:pPr>
      <w:r>
        <w:rPr>
          <w:rFonts w:ascii="Arial" w:cs="Arial" w:eastAsia="Arial" w:hAnsi="Arial"/>
          <w:sz w:val="14"/>
          <w:szCs w:val="14"/>
          <w:color w:val="auto"/>
        </w:rPr>
        <w:t>On August 21, 2020, EHI issued $750.0 million in aggregate principal amount of 6.5% senior notes due in 2025. EHI incurred $12.60 million of borrowing costs that were deferred and were netted against the principal amount of the notes. Interest on the notes is payable semi-annually in arrears on February 15 and August 15 of each year, commencing on February 15, 2021. These notes mature on August 15, 2025. EHI may redeem the notes in whole or in part at any time prior to February 15, 2025, at EHI’s option by paying a make-whole premium plus accrued and unpaid interest, if any. At any time on or after February 15, 2025, EHI may redeem the notes in whole or in part at its option at 100% of the principal amount plus accrued and unpaid interest. The notes contain customary events of default which, subject to certain notice and cure conditions, can result in the acceleration of the principal and accrued interest on the outstanding notes if EHI breaches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4" w:name="page175"/>
    <w:bookmarkEnd w:id="174"/>
    <w:p>
      <w:pPr>
        <w:ind w:left="5220"/>
        <w:spacing w:after="0"/>
        <w:rPr>
          <w:sz w:val="20"/>
          <w:szCs w:val="20"/>
          <w:color w:val="auto"/>
        </w:rPr>
      </w:pPr>
      <w:r>
        <w:rPr>
          <w:rFonts w:ascii="Arial" w:cs="Arial" w:eastAsia="Arial" w:hAnsi="Arial"/>
          <w:sz w:val="14"/>
          <w:szCs w:val="14"/>
          <w:b w:val="1"/>
          <w:bCs w:val="1"/>
          <w:color w:val="auto"/>
        </w:rPr>
        <w:t>SCHEDULE II</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ENACT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(PARENT COMPANY ONLY)</w:t>
      </w:r>
    </w:p>
    <w:p>
      <w:pPr>
        <w:spacing w:after="0" w:line="200" w:lineRule="exact"/>
        <w:rPr>
          <w:sz w:val="20"/>
          <w:szCs w:val="20"/>
          <w:color w:val="auto"/>
        </w:rPr>
      </w:pPr>
    </w:p>
    <w:p>
      <w:pPr>
        <w:spacing w:after="0" w:line="296"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EHI committed to retain $300 million of the net proceeds from the issuance of these notes that can be drawn down exclusively for its debt service or to contribute to GMICO to meet its regulatory capital needs. The current balance of the 2025 Senior Notes proceeds required to be held by the holding company is approximately $252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2" w:lineRule="exact"/>
        <w:rPr>
          <w:sz w:val="20"/>
          <w:szCs w:val="20"/>
          <w:color w:val="auto"/>
        </w:rPr>
      </w:pPr>
    </w:p>
    <w:p>
      <w:pPr>
        <w:jc w:val="both"/>
        <w:ind w:firstLine="246"/>
        <w:spacing w:after="0" w:line="246" w:lineRule="auto"/>
        <w:rPr>
          <w:sz w:val="20"/>
          <w:szCs w:val="20"/>
          <w:color w:val="auto"/>
        </w:rPr>
      </w:pPr>
      <w:r>
        <w:rPr>
          <w:rFonts w:ascii="Arial" w:cs="Arial" w:eastAsia="Arial" w:hAnsi="Arial"/>
          <w:sz w:val="14"/>
          <w:szCs w:val="14"/>
          <w:color w:val="auto"/>
        </w:rPr>
        <w:t>As of December 31, 2021, an evaluation was conducted under the supervision and with the participation of our management, including our Chief Executive Officer and Chief Financial Officer, of the effectiveness of our disclosure controls and procedures (as defined in Rules 13a-15(e) and 15d-15(e) under the Securities Exchange Act of 1934). Based on this evaluation, the Chief Executive Officer and the Chief Financial Officer concluded that our disclosure controls and procedures were effective as of December 31, 2021.</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Changes in Internal Control</w:t>
      </w:r>
    </w:p>
    <w:p>
      <w:pPr>
        <w:spacing w:after="0" w:line="142" w:lineRule="exact"/>
        <w:rPr>
          <w:sz w:val="20"/>
          <w:szCs w:val="20"/>
          <w:color w:val="auto"/>
        </w:rPr>
      </w:pPr>
    </w:p>
    <w:p>
      <w:pPr>
        <w:jc w:val="both"/>
        <w:ind w:firstLine="246"/>
        <w:spacing w:after="0" w:line="248" w:lineRule="auto"/>
        <w:rPr>
          <w:sz w:val="20"/>
          <w:szCs w:val="20"/>
          <w:color w:val="auto"/>
        </w:rPr>
      </w:pPr>
      <w:r>
        <w:rPr>
          <w:rFonts w:ascii="Arial" w:cs="Arial" w:eastAsia="Arial" w:hAnsi="Arial"/>
          <w:sz w:val="14"/>
          <w:szCs w:val="14"/>
          <w:color w:val="auto"/>
        </w:rPr>
        <w:t>There were no changes in our internal control over financial reporting identified in management’s evaluation pursuant to Rules 13a-15(d) or 15d-15(d) of the Exchange Act during the fiscal quarter ended December 31, 2021 that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231" w:right="31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42"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The information required by this Item will be contained in our definitive proxy statement or in an amendment to this Annual Report, which will be filed no later than 120 days after the end of the fiscal year covered by this Annual Report. That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4"/>
          <w:szCs w:val="14"/>
          <w:b w:val="1"/>
          <w:bCs w:val="1"/>
          <w:color w:val="auto"/>
        </w:rPr>
        <w:t>PART IV</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 Financial Statements — See the "Index to Financial Statements" included in Item 8 of this report for a list of the financial statements filed as part of this report.</w:t>
      </w:r>
    </w:p>
    <w:p>
      <w:pPr>
        <w:spacing w:after="0" w:line="126" w:lineRule="exact"/>
        <w:rPr>
          <w:sz w:val="20"/>
          <w:szCs w:val="20"/>
          <w:color w:val="auto"/>
        </w:rPr>
      </w:pPr>
    </w:p>
    <w:p>
      <w:pPr>
        <w:ind w:left="400" w:hanging="152"/>
        <w:spacing w:after="0"/>
        <w:tabs>
          <w:tab w:leader="none" w:pos="4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Financial Statement Schedules - See the "Index to Financial Statements" included in Item 8 of this report for a list of the financial statement schedules filed as part of this report.</w:t>
      </w:r>
    </w:p>
    <w:p>
      <w:pPr>
        <w:spacing w:after="0" w:line="137" w:lineRule="exact"/>
        <w:rPr>
          <w:rFonts w:ascii="Arial" w:cs="Arial" w:eastAsia="Arial" w:hAnsi="Arial"/>
          <w:sz w:val="13"/>
          <w:szCs w:val="13"/>
          <w:color w:val="auto"/>
        </w:rPr>
      </w:pPr>
    </w:p>
    <w:p>
      <w:pPr>
        <w:ind w:left="400" w:hanging="152"/>
        <w:spacing w:after="0"/>
        <w:tabs>
          <w:tab w:leader="none" w:pos="4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Exhibits.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Exhibit</w:t>
            </w: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60" w:type="dxa"/>
            <w:vAlign w:val="bottom"/>
            <w:gridSpan w:val="19"/>
            <w:vMerge w:val="restart"/>
          </w:tcPr>
          <w:p>
            <w:pPr>
              <w:ind w:left="600"/>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33"/>
        </w:trPr>
        <w:tc>
          <w:tcPr>
            <w:tcW w:w="1300" w:type="dxa"/>
            <w:vAlign w:val="bottom"/>
            <w:gridSpan w:val="2"/>
          </w:tcPr>
          <w:p>
            <w:pPr>
              <w:ind w:left="400"/>
              <w:spacing w:after="0"/>
              <w:rPr>
                <w:sz w:val="20"/>
                <w:szCs w:val="20"/>
                <w:color w:val="auto"/>
              </w:rPr>
            </w:pPr>
            <w:r>
              <w:rPr>
                <w:rFonts w:ascii="Arial" w:cs="Arial" w:eastAsia="Arial" w:hAnsi="Arial"/>
                <w:sz w:val="11"/>
                <w:szCs w:val="11"/>
                <w:b w:val="1"/>
                <w:bCs w:val="1"/>
                <w:color w:val="auto"/>
              </w:rPr>
              <w:t>Number</w:t>
            </w:r>
          </w:p>
        </w:tc>
        <w:tc>
          <w:tcPr>
            <w:tcW w:w="2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60" w:type="dxa"/>
            <w:vAlign w:val="bottom"/>
            <w:gridSpan w:val="1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4500" w:type="dxa"/>
            <w:vAlign w:val="bottom"/>
            <w:tcBorders>
              <w:top w:val="single" w:sz="8" w:color="auto"/>
              <w:bottom w:val="single" w:sz="8" w:color="0000FF"/>
            </w:tcBorders>
            <w:gridSpan w:val="5"/>
          </w:tcPr>
          <w:p>
            <w:pPr>
              <w:spacing w:after="0"/>
              <w:rPr>
                <w:rFonts w:ascii="Arial" w:cs="Arial" w:eastAsia="Arial" w:hAnsi="Arial"/>
                <w:sz w:val="14"/>
                <w:szCs w:val="14"/>
                <w:color w:val="0000FF"/>
                <w:w w:val="97"/>
              </w:rPr>
            </w:pPr>
            <w:hyperlink w:anchor="page182">
              <w:r>
                <w:rPr>
                  <w:rFonts w:ascii="Arial" w:cs="Arial" w:eastAsia="Arial" w:hAnsi="Arial"/>
                  <w:sz w:val="14"/>
                  <w:szCs w:val="14"/>
                  <w:color w:val="0000FF"/>
                  <w:w w:val="97"/>
                </w:rPr>
                <w:t>Amended and Restated Certificate of Incorporation of Enact Holdings, Inc.</w:t>
              </w:r>
            </w:hyperlink>
          </w:p>
        </w:tc>
        <w:tc>
          <w:tcPr>
            <w:tcW w:w="5480" w:type="dxa"/>
            <w:vAlign w:val="bottom"/>
            <w:tcBorders>
              <w:top w:val="single" w:sz="8" w:color="auto"/>
            </w:tcBorders>
            <w:gridSpan w:val="18"/>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rPr>
            </w:pPr>
            <w:hyperlink r:id="rId193">
              <w:r>
                <w:rPr>
                  <w:rFonts w:ascii="Arial" w:cs="Arial" w:eastAsia="Arial" w:hAnsi="Arial"/>
                  <w:sz w:val="14"/>
                  <w:szCs w:val="14"/>
                  <w:color w:val="0000FF"/>
                </w:rPr>
                <w:t>Amended and Restated Bylaws of Enact Holdings, Inc. (incorporated by reference to Exhibit 3.2 to the Company Quarterly Report on Form 10-Q filed with the</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52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r:id="rId193">
              <w:r>
                <w:rPr>
                  <w:rFonts w:ascii="Arial" w:cs="Arial" w:eastAsia="Arial" w:hAnsi="Arial"/>
                  <w:sz w:val="13"/>
                  <w:szCs w:val="13"/>
                  <w:color w:val="0000FF"/>
                </w:rPr>
                <w:t>Securities and Exchange Commission on November 4, 2021,</w:t>
              </w:r>
            </w:hyperlink>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w w:val="98"/>
              </w:rPr>
            </w:pPr>
            <w:hyperlink r:id="rId194">
              <w:r>
                <w:rPr>
                  <w:rFonts w:ascii="Arial" w:cs="Arial" w:eastAsia="Arial" w:hAnsi="Arial"/>
                  <w:sz w:val="14"/>
                  <w:szCs w:val="14"/>
                  <w:color w:val="0000FF"/>
                  <w:w w:val="98"/>
                </w:rPr>
                <w:t>Indenture, dated August 21, 2020, between Genworth Mortgage Holdings, Inc. and The Bank of New York Mellon Trust Company, N.A., as trustee (incorporated by</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60" w:type="dxa"/>
            <w:vAlign w:val="bottom"/>
            <w:tcBorders>
              <w:top w:val="single" w:sz="8" w:color="0000FF"/>
            </w:tcBorders>
            <w:gridSpan w:val="20"/>
          </w:tcPr>
          <w:p>
            <w:pPr>
              <w:spacing w:after="0" w:line="113" w:lineRule="exact"/>
              <w:rPr>
                <w:rFonts w:ascii="Arial" w:cs="Arial" w:eastAsia="Arial" w:hAnsi="Arial"/>
                <w:sz w:val="13"/>
                <w:szCs w:val="13"/>
                <w:color w:val="0000FF"/>
              </w:rPr>
            </w:pPr>
            <w:hyperlink r:id="rId194">
              <w:r>
                <w:rPr>
                  <w:rFonts w:ascii="Arial" w:cs="Arial" w:eastAsia="Arial" w:hAnsi="Arial"/>
                  <w:sz w:val="13"/>
                  <w:szCs w:val="13"/>
                  <w:color w:val="0000FF"/>
                </w:rPr>
                <w:t>reference to Exhibit 4.1 to the Current Report on Form 8-K of Genworth Financial, Inc. on August 25, 2020).</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rPr>
            </w:pPr>
            <w:hyperlink r:id="rId195">
              <w:r>
                <w:rPr>
                  <w:rFonts w:ascii="Arial" w:cs="Arial" w:eastAsia="Arial" w:hAnsi="Arial"/>
                  <w:sz w:val="14"/>
                  <w:szCs w:val="14"/>
                  <w:color w:val="0000FF"/>
                </w:rPr>
                <w:t>First Supplemental Indenture, dated August 21, 2020, between Genworth Mortgage Holdings, Inc. and The Bank of New York Mellon Trust Company, N.A., as</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540" w:type="dxa"/>
            <w:vAlign w:val="bottom"/>
            <w:tcBorders>
              <w:top w:val="single" w:sz="8" w:color="0000FF"/>
            </w:tcBorders>
            <w:gridSpan w:val="15"/>
          </w:tcPr>
          <w:p>
            <w:pPr>
              <w:spacing w:after="0" w:line="113" w:lineRule="exact"/>
              <w:rPr>
                <w:rFonts w:ascii="Arial" w:cs="Arial" w:eastAsia="Arial" w:hAnsi="Arial"/>
                <w:sz w:val="13"/>
                <w:szCs w:val="13"/>
                <w:color w:val="0000FF"/>
              </w:rPr>
            </w:pPr>
            <w:hyperlink r:id="rId195">
              <w:r>
                <w:rPr>
                  <w:rFonts w:ascii="Arial" w:cs="Arial" w:eastAsia="Arial" w:hAnsi="Arial"/>
                  <w:sz w:val="13"/>
                  <w:szCs w:val="13"/>
                  <w:color w:val="0000FF"/>
                </w:rPr>
                <w:t>trustee (incorporated by reference to Exhibit 4.2 to the Current Report on Form 8-K of Genworth Financial, Inc. on August 25, 2020).</w:t>
              </w:r>
            </w:hyperlink>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7980" w:type="dxa"/>
            <w:vAlign w:val="bottom"/>
            <w:tcBorders>
              <w:top w:val="single" w:sz="8" w:color="0000FF"/>
            </w:tcBorders>
            <w:gridSpan w:val="12"/>
          </w:tcPr>
          <w:p>
            <w:pPr>
              <w:spacing w:after="0"/>
              <w:rPr>
                <w:rFonts w:ascii="Arial" w:cs="Arial" w:eastAsia="Arial" w:hAnsi="Arial"/>
                <w:sz w:val="14"/>
                <w:szCs w:val="14"/>
                <w:color w:val="0000FF"/>
              </w:rPr>
            </w:pPr>
            <w:hyperlink w:anchor="page194">
              <w:r>
                <w:rPr>
                  <w:rFonts w:ascii="Arial" w:cs="Arial" w:eastAsia="Arial" w:hAnsi="Arial"/>
                  <w:sz w:val="14"/>
                  <w:szCs w:val="14"/>
                  <w:color w:val="0000FF"/>
                </w:rPr>
                <w:t xml:space="preserve">Description of Registrant’s Capital </w:t>
              </w:r>
            </w:hyperlink>
            <w:r>
              <w:rPr>
                <w:rFonts w:ascii="Arial" w:cs="Arial" w:eastAsia="Arial" w:hAnsi="Arial"/>
                <w:sz w:val="14"/>
                <w:szCs w:val="14"/>
                <w:color w:val="0000FF"/>
              </w:rPr>
              <w:t>Stock.</w:t>
            </w:r>
          </w:p>
        </w:tc>
        <w:tc>
          <w:tcPr>
            <w:tcW w:w="20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w w:val="99"/>
              </w:rPr>
            </w:pPr>
            <w:hyperlink r:id="rId196">
              <w:r>
                <w:rPr>
                  <w:rFonts w:ascii="Arial" w:cs="Arial" w:eastAsia="Arial" w:hAnsi="Arial"/>
                  <w:sz w:val="14"/>
                  <w:szCs w:val="14"/>
                  <w:color w:val="0000FF"/>
                  <w:w w:val="99"/>
                </w:rPr>
                <w:t>Master Agreement, dated September 15, 2021, between Genworth Financial and Enact Holdings, Inc. (incorporated by reference to Exhibit 10.1 to the Company’s</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rPr>
            </w:pPr>
            <w:hyperlink r:id="rId196">
              <w:r>
                <w:rPr>
                  <w:rFonts w:ascii="Arial" w:cs="Arial" w:eastAsia="Arial" w:hAnsi="Arial"/>
                  <w:sz w:val="13"/>
                  <w:szCs w:val="13"/>
                  <w:color w:val="0000FF"/>
                </w:rPr>
                <w:t>Current Report on Form 8-K filed with the Securities and Exchange Commission on September 15, 2021).</w:t>
              </w:r>
            </w:hyperlink>
          </w:p>
        </w:tc>
        <w:tc>
          <w:tcPr>
            <w:tcW w:w="3400" w:type="dxa"/>
            <w:vAlign w:val="bottom"/>
            <w:tcBorders>
              <w:top w:val="single" w:sz="8" w:color="0000FF"/>
            </w:tcBorders>
            <w:gridSpan w:val="11"/>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w w:val="98"/>
              </w:rPr>
            </w:pPr>
            <w:hyperlink r:id="rId197">
              <w:r>
                <w:rPr>
                  <w:rFonts w:ascii="Arial" w:cs="Arial" w:eastAsia="Arial" w:hAnsi="Arial"/>
                  <w:sz w:val="14"/>
                  <w:szCs w:val="14"/>
                  <w:color w:val="0000FF"/>
                  <w:w w:val="98"/>
                </w:rPr>
                <w:t>Amended and Restated Tax Allocation Agreement (incorporated by reference to Exhibit 10.2 to the Company’s Registration Statement on Form S-1/A filed with the</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4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97">
              <w:r>
                <w:rPr>
                  <w:rFonts w:ascii="Arial" w:cs="Arial" w:eastAsia="Arial" w:hAnsi="Arial"/>
                  <w:sz w:val="13"/>
                  <w:szCs w:val="13"/>
                  <w:color w:val="0000FF"/>
                </w:rPr>
                <w:t>Securities and Exchange Commission on September 13, 2021)</w:t>
              </w:r>
              <w:r>
                <w:rPr>
                  <w:rFonts w:ascii="Arial" w:cs="Arial" w:eastAsia="Arial" w:hAnsi="Arial"/>
                  <w:sz w:val="13"/>
                  <w:szCs w:val="13"/>
                  <w:u w:val="single" w:color="auto"/>
                  <w:color w:val="0000FF"/>
                </w:rPr>
                <w:t>.</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w w:val="99"/>
              </w:rPr>
            </w:pPr>
            <w:hyperlink r:id="rId198">
              <w:r>
                <w:rPr>
                  <w:rFonts w:ascii="Arial" w:cs="Arial" w:eastAsia="Arial" w:hAnsi="Arial"/>
                  <w:sz w:val="14"/>
                  <w:szCs w:val="14"/>
                  <w:color w:val="0000FF"/>
                  <w:w w:val="99"/>
                </w:rPr>
                <w:t>Registration Rights Agreement, dated as of September 15, 2021, between Enact Holdings, Inc. and Genworth Financial, Inc. (incorporated by reference to Exhibit</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76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r:id="rId198">
              <w:r>
                <w:rPr>
                  <w:rFonts w:ascii="Arial" w:cs="Arial" w:eastAsia="Arial" w:hAnsi="Arial"/>
                  <w:sz w:val="13"/>
                  <w:szCs w:val="13"/>
                  <w:color w:val="0000FF"/>
                </w:rPr>
                <w:t>10.</w:t>
              </w:r>
              <w:r>
                <w:rPr>
                  <w:rFonts w:ascii="Arial" w:cs="Arial" w:eastAsia="Arial" w:hAnsi="Arial"/>
                  <w:sz w:val="13"/>
                  <w:szCs w:val="13"/>
                  <w:u w:val="single" w:color="auto"/>
                  <w:color w:val="0000FF"/>
                </w:rPr>
                <w:t>2</w:t>
              </w:r>
              <w:r>
                <w:rPr>
                  <w:rFonts w:ascii="Arial" w:cs="Arial" w:eastAsia="Arial" w:hAnsi="Arial"/>
                  <w:sz w:val="13"/>
                  <w:szCs w:val="13"/>
                  <w:color w:val="0000FF"/>
                </w:rPr>
                <w:t xml:space="preserve"> to the Company’s Quarterly Report on Form 10-Q filed with the Securities and Exchange Commission on November 4, 2021).</w:t>
              </w:r>
            </w:hyperlink>
          </w:p>
        </w:tc>
        <w:tc>
          <w:tcPr>
            <w:tcW w:w="14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672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7"/>
              </w:rPr>
            </w:pPr>
            <w:hyperlink w:anchor="page199">
              <w:r>
                <w:rPr>
                  <w:rFonts w:ascii="Arial" w:cs="Arial" w:eastAsia="Arial" w:hAnsi="Arial"/>
                  <w:sz w:val="14"/>
                  <w:szCs w:val="14"/>
                  <w:color w:val="0000FF"/>
                  <w:w w:val="97"/>
                </w:rPr>
                <w:t>Shared Services Agreement, dated August 4, 2021, between Enact Holdings, Inc. and Genworth Financial, Inc.</w:t>
              </w:r>
            </w:hyperlink>
          </w:p>
        </w:tc>
        <w:tc>
          <w:tcPr>
            <w:tcW w:w="1160" w:type="dxa"/>
            <w:vAlign w:val="bottom"/>
            <w:tcBorders>
              <w:top w:val="single" w:sz="8" w:color="0000FF"/>
            </w:tcBorders>
            <w:gridSpan w:val="2"/>
          </w:tcPr>
          <w:p>
            <w:pPr>
              <w:spacing w:after="0"/>
              <w:rPr>
                <w:sz w:val="16"/>
                <w:szCs w:val="16"/>
                <w:color w:val="auto"/>
              </w:rPr>
            </w:pPr>
          </w:p>
        </w:tc>
        <w:tc>
          <w:tcPr>
            <w:tcW w:w="210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rPr>
            </w:pPr>
            <w:hyperlink w:anchor="page259">
              <w:r>
                <w:rPr>
                  <w:rFonts w:ascii="Arial" w:cs="Arial" w:eastAsia="Arial" w:hAnsi="Arial"/>
                  <w:sz w:val="14"/>
                  <w:szCs w:val="14"/>
                  <w:color w:val="0000FF"/>
                </w:rPr>
                <w:t xml:space="preserve">Enact Holdings, Inc. 2021 Omnibus Incentive </w:t>
              </w:r>
            </w:hyperlink>
            <w:r>
              <w:rPr>
                <w:rFonts w:ascii="Arial" w:cs="Arial" w:eastAsia="Arial" w:hAnsi="Arial"/>
                <w:sz w:val="14"/>
                <w:szCs w:val="14"/>
                <w:color w:val="0000FF"/>
              </w:rPr>
              <w:t>Plan.</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w w:val="98"/>
              </w:rPr>
            </w:pPr>
            <w:hyperlink r:id="rId199">
              <w:r>
                <w:rPr>
                  <w:rFonts w:ascii="Arial" w:cs="Arial" w:eastAsia="Arial" w:hAnsi="Arial"/>
                  <w:sz w:val="14"/>
                  <w:szCs w:val="14"/>
                  <w:color w:val="0000FF"/>
                  <w:w w:val="98"/>
                </w:rPr>
                <w:t>Special Severance Payment Agreement between Genworth Financial, Inc. and Rohit Gupta incorporated by reference to Exhibit 10.6 to the Company’s Registration</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90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199">
              <w:r>
                <w:rPr>
                  <w:rFonts w:ascii="Arial" w:cs="Arial" w:eastAsia="Arial" w:hAnsi="Arial"/>
                  <w:sz w:val="13"/>
                  <w:szCs w:val="13"/>
                  <w:color w:val="0000FF"/>
                </w:rPr>
                <w:t>Statement on Form S-1/A filed with the Securities and Exchange Commission on September 13, 2021).</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40" w:type="dxa"/>
            <w:vAlign w:val="bottom"/>
            <w:gridSpan w:val="6"/>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rPr>
            </w:pPr>
            <w:hyperlink r:id="rId200">
              <w:r>
                <w:rPr>
                  <w:rFonts w:ascii="Arial" w:cs="Arial" w:eastAsia="Arial" w:hAnsi="Arial"/>
                  <w:sz w:val="14"/>
                  <w:szCs w:val="14"/>
                  <w:color w:val="0000FF"/>
                </w:rPr>
                <w:t>Special Severance Payment Agreement between Genworth Financial, Inc. and Hardin Dean Mitchell (incorporated by reference to Exhibit 10.7 to the Company’s</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2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rPr>
            </w:pPr>
            <w:hyperlink r:id="rId200">
              <w:r>
                <w:rPr>
                  <w:rFonts w:ascii="Arial" w:cs="Arial" w:eastAsia="Arial" w:hAnsi="Arial"/>
                  <w:sz w:val="13"/>
                  <w:szCs w:val="13"/>
                  <w:color w:val="0000FF"/>
                </w:rPr>
                <w:t>Registration Statement on Form S-1/A filed with the Securities and Exchange Commission on September 13, 2021).</w:t>
              </w:r>
            </w:hyperlink>
          </w:p>
        </w:tc>
        <w:tc>
          <w:tcPr>
            <w:tcW w:w="2700" w:type="dxa"/>
            <w:vAlign w:val="bottom"/>
            <w:tcBorders>
              <w:top w:val="single" w:sz="8" w:color="0000FF"/>
            </w:tcBorders>
            <w:gridSpan w:val="6"/>
          </w:tcPr>
          <w:p>
            <w:pPr>
              <w:spacing w:after="0"/>
              <w:rPr>
                <w:sz w:val="9"/>
                <w:szCs w:val="9"/>
                <w:color w:val="auto"/>
              </w:rPr>
            </w:pPr>
          </w:p>
        </w:tc>
        <w:tc>
          <w:tcPr>
            <w:tcW w:w="20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9980" w:type="dxa"/>
            <w:vAlign w:val="bottom"/>
            <w:gridSpan w:val="23"/>
          </w:tcPr>
          <w:p>
            <w:pPr>
              <w:spacing w:after="0"/>
              <w:rPr>
                <w:rFonts w:ascii="Arial" w:cs="Arial" w:eastAsia="Arial" w:hAnsi="Arial"/>
                <w:sz w:val="14"/>
                <w:szCs w:val="14"/>
                <w:color w:val="0000FF"/>
                <w:w w:val="98"/>
              </w:rPr>
            </w:pPr>
            <w:hyperlink r:id="rId201">
              <w:r>
                <w:rPr>
                  <w:rFonts w:ascii="Arial" w:cs="Arial" w:eastAsia="Arial" w:hAnsi="Arial"/>
                  <w:sz w:val="14"/>
                  <w:szCs w:val="14"/>
                  <w:color w:val="0000FF"/>
                  <w:w w:val="98"/>
                </w:rPr>
                <w:t>Amendment No. 1 to Special Severance Payment Agreement between Genworth Financial, Inc. and Hardin Dean Mitchell (incorporated by reference to Exhibit 10.8</w:t>
              </w:r>
            </w:hyperlink>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120" w:type="dxa"/>
            <w:vAlign w:val="bottom"/>
            <w:tcBorders>
              <w:top w:val="single" w:sz="8" w:color="0000FF"/>
              <w:bottom w:val="single" w:sz="8" w:color="0000FF"/>
            </w:tcBorders>
            <w:gridSpan w:val="13"/>
          </w:tcPr>
          <w:p>
            <w:pPr>
              <w:spacing w:after="0" w:line="113" w:lineRule="exact"/>
              <w:rPr>
                <w:rFonts w:ascii="Arial" w:cs="Arial" w:eastAsia="Arial" w:hAnsi="Arial"/>
                <w:sz w:val="13"/>
                <w:szCs w:val="13"/>
                <w:color w:val="0000FF"/>
              </w:rPr>
            </w:pPr>
            <w:hyperlink r:id="rId201">
              <w:r>
                <w:rPr>
                  <w:rFonts w:ascii="Arial" w:cs="Arial" w:eastAsia="Arial" w:hAnsi="Arial"/>
                  <w:sz w:val="13"/>
                  <w:szCs w:val="13"/>
                  <w:color w:val="0000FF"/>
                </w:rPr>
                <w:t>to the Company’s Registration Statement on Form S-1/A filed with the Securities and Exchange Commission on September 13, 2021).</w:t>
              </w:r>
            </w:hyperlink>
          </w:p>
        </w:tc>
        <w:tc>
          <w:tcPr>
            <w:tcW w:w="1800" w:type="dxa"/>
            <w:vAlign w:val="bottom"/>
            <w:tcBorders>
              <w:top w:val="single" w:sz="8" w:color="0000FF"/>
            </w:tcBorders>
            <w:gridSpan w:val="9"/>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auto"/>
              </w:rPr>
              <w:t>10.9+</w:t>
            </w:r>
          </w:p>
        </w:tc>
        <w:tc>
          <w:tcPr>
            <w:tcW w:w="9980" w:type="dxa"/>
            <w:vAlign w:val="bottom"/>
            <w:gridSpan w:val="27"/>
          </w:tcPr>
          <w:p>
            <w:pPr>
              <w:spacing w:after="0"/>
              <w:rPr>
                <w:rFonts w:ascii="Arial" w:cs="Arial" w:eastAsia="Arial" w:hAnsi="Arial"/>
                <w:sz w:val="14"/>
                <w:szCs w:val="14"/>
                <w:color w:val="0000FF"/>
              </w:rPr>
            </w:pPr>
            <w:hyperlink r:id="rId203">
              <w:r>
                <w:rPr>
                  <w:rFonts w:ascii="Arial" w:cs="Arial" w:eastAsia="Arial" w:hAnsi="Arial"/>
                  <w:sz w:val="14"/>
                  <w:szCs w:val="14"/>
                  <w:color w:val="0000FF"/>
                </w:rPr>
                <w:t>Special Severance Payment Agreement between Genworth Financial, Inc. and Evan Stolove (incorporated by reference to Exhibit 10.9 to the Company’s</w:t>
              </w:r>
            </w:hyperlink>
          </w:p>
        </w:tc>
      </w:tr>
      <w:tr>
        <w:trPr>
          <w:trHeight w:val="113"/>
        </w:trPr>
        <w:tc>
          <w:tcPr>
            <w:tcW w:w="1280" w:type="dxa"/>
            <w:vAlign w:val="bottom"/>
          </w:tcPr>
          <w:p>
            <w:pPr>
              <w:spacing w:after="0"/>
              <w:rPr>
                <w:sz w:val="9"/>
                <w:szCs w:val="9"/>
                <w:color w:val="auto"/>
              </w:rPr>
            </w:pPr>
          </w:p>
        </w:tc>
        <w:tc>
          <w:tcPr>
            <w:tcW w:w="7040" w:type="dxa"/>
            <w:vAlign w:val="bottom"/>
            <w:tcBorders>
              <w:top w:val="single" w:sz="8" w:color="0000FF"/>
              <w:bottom w:val="single" w:sz="8" w:color="0000FF"/>
            </w:tcBorders>
            <w:gridSpan w:val="11"/>
          </w:tcPr>
          <w:p>
            <w:pPr>
              <w:spacing w:after="0" w:line="113" w:lineRule="exact"/>
              <w:rPr>
                <w:rFonts w:ascii="Arial" w:cs="Arial" w:eastAsia="Arial" w:hAnsi="Arial"/>
                <w:sz w:val="13"/>
                <w:szCs w:val="13"/>
                <w:color w:val="0000FF"/>
              </w:rPr>
            </w:pPr>
            <w:hyperlink r:id="rId203">
              <w:r>
                <w:rPr>
                  <w:rFonts w:ascii="Arial" w:cs="Arial" w:eastAsia="Arial" w:hAnsi="Arial"/>
                  <w:sz w:val="13"/>
                  <w:szCs w:val="13"/>
                  <w:color w:val="0000FF"/>
                </w:rPr>
                <w:t>Registration Statement on Form S-1/A filed with the Securities and Exchange Commission on September 13, 2021).</w:t>
              </w:r>
            </w:hyperlink>
          </w:p>
        </w:tc>
        <w:tc>
          <w:tcPr>
            <w:tcW w:w="222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10.10+</w:t>
            </w:r>
          </w:p>
        </w:tc>
        <w:tc>
          <w:tcPr>
            <w:tcW w:w="9980" w:type="dxa"/>
            <w:vAlign w:val="bottom"/>
            <w:gridSpan w:val="27"/>
          </w:tcPr>
          <w:p>
            <w:pPr>
              <w:spacing w:after="0"/>
              <w:rPr>
                <w:rFonts w:ascii="Arial" w:cs="Arial" w:eastAsia="Arial" w:hAnsi="Arial"/>
                <w:sz w:val="14"/>
                <w:szCs w:val="14"/>
                <w:color w:val="0000FF"/>
                <w:w w:val="98"/>
              </w:rPr>
            </w:pPr>
            <w:hyperlink r:id="rId204">
              <w:r>
                <w:rPr>
                  <w:rFonts w:ascii="Arial" w:cs="Arial" w:eastAsia="Arial" w:hAnsi="Arial"/>
                  <w:sz w:val="14"/>
                  <w:szCs w:val="14"/>
                  <w:color w:val="0000FF"/>
                  <w:w w:val="98"/>
                </w:rPr>
                <w:t>Amendment No. 1 to Special Severance Payment Agreement between Genworth Financial, Inc. and Evan Stolove (incorporated by reference to Exhibit 10.10 to the</w:t>
              </w:r>
            </w:hyperlink>
          </w:p>
        </w:tc>
      </w:tr>
      <w:tr>
        <w:trPr>
          <w:trHeight w:val="113"/>
        </w:trPr>
        <w:tc>
          <w:tcPr>
            <w:tcW w:w="1280" w:type="dxa"/>
            <w:vAlign w:val="bottom"/>
          </w:tcPr>
          <w:p>
            <w:pPr>
              <w:spacing w:after="0"/>
              <w:rPr>
                <w:sz w:val="9"/>
                <w:szCs w:val="9"/>
                <w:color w:val="auto"/>
              </w:rPr>
            </w:pPr>
          </w:p>
        </w:tc>
        <w:tc>
          <w:tcPr>
            <w:tcW w:w="7740" w:type="dxa"/>
            <w:vAlign w:val="bottom"/>
            <w:tcBorders>
              <w:top w:val="single" w:sz="8" w:color="0000FF"/>
              <w:bottom w:val="single" w:sz="8" w:color="0000FF"/>
            </w:tcBorders>
            <w:gridSpan w:val="12"/>
          </w:tcPr>
          <w:p>
            <w:pPr>
              <w:spacing w:after="0" w:line="113" w:lineRule="exact"/>
              <w:rPr>
                <w:rFonts w:ascii="Arial" w:cs="Arial" w:eastAsia="Arial" w:hAnsi="Arial"/>
                <w:sz w:val="13"/>
                <w:szCs w:val="13"/>
                <w:color w:val="0000FF"/>
              </w:rPr>
            </w:pPr>
            <w:hyperlink r:id="rId204">
              <w:r>
                <w:rPr>
                  <w:rFonts w:ascii="Arial" w:cs="Arial" w:eastAsia="Arial" w:hAnsi="Arial"/>
                  <w:sz w:val="13"/>
                  <w:szCs w:val="13"/>
                  <w:color w:val="0000FF"/>
                </w:rPr>
                <w:t>Company’s Registration Statement on Form S-1/A filed with the Securities and Exchange Commission on September 13, 2021).</w:t>
              </w:r>
            </w:hyperlink>
          </w:p>
        </w:tc>
        <w:tc>
          <w:tcPr>
            <w:tcW w:w="2160" w:type="dxa"/>
            <w:vAlign w:val="bottom"/>
            <w:tcBorders>
              <w:top w:val="single" w:sz="8" w:color="0000FF"/>
            </w:tcBorders>
            <w:gridSpan w:val="1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10.11+</w:t>
            </w:r>
          </w:p>
        </w:tc>
        <w:tc>
          <w:tcPr>
            <w:tcW w:w="9980" w:type="dxa"/>
            <w:vAlign w:val="bottom"/>
            <w:gridSpan w:val="27"/>
          </w:tcPr>
          <w:p>
            <w:pPr>
              <w:spacing w:after="0"/>
              <w:rPr>
                <w:rFonts w:ascii="Arial" w:cs="Arial" w:eastAsia="Arial" w:hAnsi="Arial"/>
                <w:sz w:val="14"/>
                <w:szCs w:val="14"/>
                <w:color w:val="0000FF"/>
              </w:rPr>
            </w:pPr>
            <w:hyperlink r:id="rId205">
              <w:r>
                <w:rPr>
                  <w:rFonts w:ascii="Arial" w:cs="Arial" w:eastAsia="Arial" w:hAnsi="Arial"/>
                  <w:sz w:val="14"/>
                  <w:szCs w:val="14"/>
                  <w:color w:val="0000FF"/>
                </w:rPr>
                <w:t>Transition Retention Bonus Agreement between Genworth Financial, Inc. and Hardin Dean Mitchell (incorporated by reference to Exhibit 10.11 to the Company’s</w:t>
              </w:r>
            </w:hyperlink>
          </w:p>
        </w:tc>
      </w:tr>
      <w:tr>
        <w:trPr>
          <w:trHeight w:val="113"/>
        </w:trPr>
        <w:tc>
          <w:tcPr>
            <w:tcW w:w="1280" w:type="dxa"/>
            <w:vAlign w:val="bottom"/>
          </w:tcPr>
          <w:p>
            <w:pPr>
              <w:spacing w:after="0"/>
              <w:rPr>
                <w:sz w:val="9"/>
                <w:szCs w:val="9"/>
                <w:color w:val="auto"/>
              </w:rPr>
            </w:pPr>
          </w:p>
        </w:tc>
        <w:tc>
          <w:tcPr>
            <w:tcW w:w="7040" w:type="dxa"/>
            <w:vAlign w:val="bottom"/>
            <w:tcBorders>
              <w:top w:val="single" w:sz="8" w:color="0000FF"/>
              <w:bottom w:val="single" w:sz="8" w:color="0000FF"/>
            </w:tcBorders>
            <w:gridSpan w:val="11"/>
          </w:tcPr>
          <w:p>
            <w:pPr>
              <w:spacing w:after="0" w:line="113" w:lineRule="exact"/>
              <w:rPr>
                <w:rFonts w:ascii="Arial" w:cs="Arial" w:eastAsia="Arial" w:hAnsi="Arial"/>
                <w:sz w:val="13"/>
                <w:szCs w:val="13"/>
                <w:color w:val="0000FF"/>
              </w:rPr>
            </w:pPr>
            <w:hyperlink r:id="rId205">
              <w:r>
                <w:rPr>
                  <w:rFonts w:ascii="Arial" w:cs="Arial" w:eastAsia="Arial" w:hAnsi="Arial"/>
                  <w:sz w:val="13"/>
                  <w:szCs w:val="13"/>
                  <w:color w:val="0000FF"/>
                </w:rPr>
                <w:t>Registration Statement on Form S-1/A filed with the Securities and Exchange Commission on September 13, 2021).</w:t>
              </w:r>
            </w:hyperlink>
          </w:p>
        </w:tc>
        <w:tc>
          <w:tcPr>
            <w:tcW w:w="26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10.12+</w:t>
            </w:r>
          </w:p>
        </w:tc>
        <w:tc>
          <w:tcPr>
            <w:tcW w:w="9980" w:type="dxa"/>
            <w:vAlign w:val="bottom"/>
            <w:gridSpan w:val="27"/>
          </w:tcPr>
          <w:p>
            <w:pPr>
              <w:spacing w:after="0"/>
              <w:rPr>
                <w:rFonts w:ascii="Arial" w:cs="Arial" w:eastAsia="Arial" w:hAnsi="Arial"/>
                <w:sz w:val="14"/>
                <w:szCs w:val="14"/>
                <w:color w:val="0000FF"/>
              </w:rPr>
            </w:pPr>
            <w:hyperlink r:id="rId206">
              <w:r>
                <w:rPr>
                  <w:rFonts w:ascii="Arial" w:cs="Arial" w:eastAsia="Arial" w:hAnsi="Arial"/>
                  <w:sz w:val="14"/>
                  <w:szCs w:val="14"/>
                  <w:color w:val="0000FF"/>
                </w:rPr>
                <w:t>Transition Retention Bonus Agreement between Genworth Financial, Inc. and Evan Stolove (incorporated by reference to Exhibit 10.12 to the Company’s</w:t>
              </w:r>
            </w:hyperlink>
          </w:p>
        </w:tc>
      </w:tr>
      <w:tr>
        <w:trPr>
          <w:trHeight w:val="113"/>
        </w:trPr>
        <w:tc>
          <w:tcPr>
            <w:tcW w:w="1280" w:type="dxa"/>
            <w:vAlign w:val="bottom"/>
          </w:tcPr>
          <w:p>
            <w:pPr>
              <w:spacing w:after="0"/>
              <w:rPr>
                <w:sz w:val="9"/>
                <w:szCs w:val="9"/>
                <w:color w:val="auto"/>
              </w:rPr>
            </w:pPr>
          </w:p>
        </w:tc>
        <w:tc>
          <w:tcPr>
            <w:tcW w:w="7040" w:type="dxa"/>
            <w:vAlign w:val="bottom"/>
            <w:tcBorders>
              <w:top w:val="single" w:sz="8" w:color="0000FF"/>
              <w:bottom w:val="single" w:sz="8" w:color="0000FF"/>
            </w:tcBorders>
            <w:gridSpan w:val="11"/>
          </w:tcPr>
          <w:p>
            <w:pPr>
              <w:spacing w:after="0" w:line="113" w:lineRule="exact"/>
              <w:rPr>
                <w:rFonts w:ascii="Arial" w:cs="Arial" w:eastAsia="Arial" w:hAnsi="Arial"/>
                <w:sz w:val="13"/>
                <w:szCs w:val="13"/>
                <w:color w:val="0000FF"/>
              </w:rPr>
            </w:pPr>
            <w:hyperlink r:id="rId206">
              <w:r>
                <w:rPr>
                  <w:rFonts w:ascii="Arial" w:cs="Arial" w:eastAsia="Arial" w:hAnsi="Arial"/>
                  <w:sz w:val="13"/>
                  <w:szCs w:val="13"/>
                  <w:color w:val="0000FF"/>
                </w:rPr>
                <w:t>Registration Statement on Form S-1/A filed with the Securities and Exchange Commission on September 13, 2021).</w:t>
              </w:r>
            </w:hyperlink>
          </w:p>
        </w:tc>
        <w:tc>
          <w:tcPr>
            <w:tcW w:w="2240" w:type="dxa"/>
            <w:vAlign w:val="bottom"/>
            <w:tcBorders>
              <w:top w:val="single" w:sz="8" w:color="0000FF"/>
            </w:tcBorders>
            <w:gridSpan w:val="5"/>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10.13+</w:t>
            </w:r>
          </w:p>
        </w:tc>
        <w:tc>
          <w:tcPr>
            <w:tcW w:w="9980" w:type="dxa"/>
            <w:vAlign w:val="bottom"/>
            <w:gridSpan w:val="27"/>
          </w:tcPr>
          <w:p>
            <w:pPr>
              <w:spacing w:after="0"/>
              <w:rPr>
                <w:rFonts w:ascii="Arial" w:cs="Arial" w:eastAsia="Arial" w:hAnsi="Arial"/>
                <w:sz w:val="14"/>
                <w:szCs w:val="14"/>
                <w:color w:val="0000FF"/>
              </w:rPr>
            </w:pPr>
            <w:hyperlink r:id="rId207">
              <w:r>
                <w:rPr>
                  <w:rFonts w:ascii="Arial" w:cs="Arial" w:eastAsia="Arial" w:hAnsi="Arial"/>
                  <w:sz w:val="14"/>
                  <w:szCs w:val="14"/>
                  <w:color w:val="0000FF"/>
                </w:rPr>
                <w:t>Retention Bonus Agreement between Genworth Financial, Inc. and Rohit Gupta (incorporated by reference to Exhibit 10.13 to the Company’s Registration</w:t>
              </w:r>
            </w:hyperlink>
          </w:p>
        </w:tc>
      </w:tr>
      <w:tr>
        <w:trPr>
          <w:trHeight w:val="113"/>
        </w:trPr>
        <w:tc>
          <w:tcPr>
            <w:tcW w:w="1280" w:type="dxa"/>
            <w:vAlign w:val="bottom"/>
          </w:tcPr>
          <w:p>
            <w:pPr>
              <w:spacing w:after="0"/>
              <w:rPr>
                <w:sz w:val="9"/>
                <w:szCs w:val="9"/>
                <w:color w:val="auto"/>
              </w:rPr>
            </w:pPr>
          </w:p>
        </w:tc>
        <w:tc>
          <w:tcPr>
            <w:tcW w:w="932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r:id="rId207">
              <w:r>
                <w:rPr>
                  <w:rFonts w:ascii="Arial" w:cs="Arial" w:eastAsia="Arial" w:hAnsi="Arial"/>
                  <w:sz w:val="13"/>
                  <w:szCs w:val="13"/>
                  <w:color w:val="0000FF"/>
                </w:rPr>
                <w:t>Statement on Form S-1/A filed with the Securities and Exchange Commission on September 13, 2021).</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10.14+</w:t>
            </w:r>
          </w:p>
        </w:tc>
        <w:tc>
          <w:tcPr>
            <w:tcW w:w="9980" w:type="dxa"/>
            <w:vAlign w:val="bottom"/>
            <w:gridSpan w:val="27"/>
          </w:tcPr>
          <w:p>
            <w:pPr>
              <w:spacing w:after="0"/>
              <w:rPr>
                <w:rFonts w:ascii="Arial" w:cs="Arial" w:eastAsia="Arial" w:hAnsi="Arial"/>
                <w:sz w:val="14"/>
                <w:szCs w:val="14"/>
                <w:color w:val="0000FF"/>
                <w:w w:val="98"/>
              </w:rPr>
            </w:pPr>
            <w:hyperlink r:id="rId208">
              <w:r>
                <w:rPr>
                  <w:rFonts w:ascii="Arial" w:cs="Arial" w:eastAsia="Arial" w:hAnsi="Arial"/>
                  <w:sz w:val="14"/>
                  <w:szCs w:val="14"/>
                  <w:color w:val="0000FF"/>
                  <w:w w:val="98"/>
                </w:rPr>
                <w:t>Retention Bonus Agreement between Genworth Financial, Inc. and Hardin Dean Mitchell (incorporated by reference to Exhibit 10.14 to the Company’s Registration</w:t>
              </w:r>
            </w:hyperlink>
          </w:p>
        </w:tc>
      </w:tr>
      <w:tr>
        <w:trPr>
          <w:trHeight w:val="113"/>
        </w:trPr>
        <w:tc>
          <w:tcPr>
            <w:tcW w:w="1280" w:type="dxa"/>
            <w:vAlign w:val="bottom"/>
          </w:tcPr>
          <w:p>
            <w:pPr>
              <w:spacing w:after="0"/>
              <w:rPr>
                <w:sz w:val="9"/>
                <w:szCs w:val="9"/>
                <w:color w:val="auto"/>
              </w:rPr>
            </w:pPr>
          </w:p>
        </w:tc>
        <w:tc>
          <w:tcPr>
            <w:tcW w:w="986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r:id="rId208">
              <w:r>
                <w:rPr>
                  <w:rFonts w:ascii="Arial" w:cs="Arial" w:eastAsia="Arial" w:hAnsi="Arial"/>
                  <w:sz w:val="13"/>
                  <w:szCs w:val="13"/>
                  <w:color w:val="0000FF"/>
                </w:rPr>
                <w:t>Statement on Form S-1/A filed with the Securities and Exchange Commission on September 13, 2021).</w:t>
              </w:r>
            </w:hyperlink>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10.15+</w:t>
            </w:r>
          </w:p>
        </w:tc>
        <w:tc>
          <w:tcPr>
            <w:tcW w:w="9980" w:type="dxa"/>
            <w:vAlign w:val="bottom"/>
            <w:gridSpan w:val="27"/>
          </w:tcPr>
          <w:p>
            <w:pPr>
              <w:spacing w:after="0"/>
              <w:rPr>
                <w:rFonts w:ascii="Arial" w:cs="Arial" w:eastAsia="Arial" w:hAnsi="Arial"/>
                <w:sz w:val="14"/>
                <w:szCs w:val="14"/>
                <w:color w:val="0000FF"/>
              </w:rPr>
            </w:pPr>
            <w:hyperlink r:id="rId209">
              <w:r>
                <w:rPr>
                  <w:rFonts w:ascii="Arial" w:cs="Arial" w:eastAsia="Arial" w:hAnsi="Arial"/>
                  <w:sz w:val="14"/>
                  <w:szCs w:val="14"/>
                  <w:color w:val="0000FF"/>
                </w:rPr>
                <w:t>Retention Bonus Agreement between Genworth Financial, Inc. and Evan Stolove (incorporated by reference to Exhibit 10.15 to the Company’s Registration</w:t>
              </w:r>
            </w:hyperlink>
          </w:p>
        </w:tc>
      </w:tr>
      <w:tr>
        <w:trPr>
          <w:trHeight w:val="113"/>
        </w:trPr>
        <w:tc>
          <w:tcPr>
            <w:tcW w:w="1280" w:type="dxa"/>
            <w:vAlign w:val="bottom"/>
          </w:tcPr>
          <w:p>
            <w:pPr>
              <w:spacing w:after="0"/>
              <w:rPr>
                <w:sz w:val="9"/>
                <w:szCs w:val="9"/>
                <w:color w:val="auto"/>
              </w:rPr>
            </w:pPr>
          </w:p>
        </w:tc>
        <w:tc>
          <w:tcPr>
            <w:tcW w:w="940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209">
              <w:r>
                <w:rPr>
                  <w:rFonts w:ascii="Arial" w:cs="Arial" w:eastAsia="Arial" w:hAnsi="Arial"/>
                  <w:sz w:val="13"/>
                  <w:szCs w:val="13"/>
                  <w:color w:val="0000FF"/>
                </w:rPr>
                <w:t>Statement on Form S-1/A filed with the Securities and Exchange Commission on September 13, 2021).</w:t>
              </w:r>
            </w:hyperlink>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10.16+</w:t>
            </w:r>
          </w:p>
        </w:tc>
        <w:tc>
          <w:tcPr>
            <w:tcW w:w="9980" w:type="dxa"/>
            <w:vAlign w:val="bottom"/>
            <w:gridSpan w:val="27"/>
          </w:tcPr>
          <w:p>
            <w:pPr>
              <w:spacing w:after="0"/>
              <w:rPr>
                <w:rFonts w:ascii="Arial" w:cs="Arial" w:eastAsia="Arial" w:hAnsi="Arial"/>
                <w:sz w:val="14"/>
                <w:szCs w:val="14"/>
                <w:color w:val="0000FF"/>
                <w:w w:val="99"/>
              </w:rPr>
            </w:pPr>
            <w:hyperlink r:id="rId210">
              <w:r>
                <w:rPr>
                  <w:rFonts w:ascii="Arial" w:cs="Arial" w:eastAsia="Arial" w:hAnsi="Arial"/>
                  <w:sz w:val="14"/>
                  <w:szCs w:val="14"/>
                  <w:color w:val="0000FF"/>
                  <w:w w:val="99"/>
                </w:rPr>
                <w:t>Amended and Restated Genworth Financial, Inc. 2015 Key Employee Severance Plan (incorporated by reference to Exhibit 10.6 to the Quarterly Report on Form</w:t>
              </w:r>
            </w:hyperlink>
          </w:p>
        </w:tc>
      </w:tr>
      <w:tr>
        <w:trPr>
          <w:trHeight w:val="113"/>
        </w:trPr>
        <w:tc>
          <w:tcPr>
            <w:tcW w:w="1280" w:type="dxa"/>
            <w:vAlign w:val="bottom"/>
          </w:tcPr>
          <w:p>
            <w:pPr>
              <w:spacing w:after="0"/>
              <w:rPr>
                <w:sz w:val="9"/>
                <w:szCs w:val="9"/>
                <w:color w:val="auto"/>
              </w:rPr>
            </w:pPr>
          </w:p>
        </w:tc>
        <w:tc>
          <w:tcPr>
            <w:tcW w:w="974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210">
              <w:r>
                <w:rPr>
                  <w:rFonts w:ascii="Arial" w:cs="Arial" w:eastAsia="Arial" w:hAnsi="Arial"/>
                  <w:sz w:val="13"/>
                  <w:szCs w:val="13"/>
                  <w:color w:val="0000FF"/>
                </w:rPr>
                <w:t>10-Q of Genworth Financial, Inc. for the period ended June 30, 2019).</w:t>
              </w:r>
            </w:hyperlink>
          </w:p>
        </w:tc>
        <w:tc>
          <w:tcPr>
            <w:tcW w:w="4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10.17+</w:t>
            </w:r>
          </w:p>
        </w:tc>
        <w:tc>
          <w:tcPr>
            <w:tcW w:w="9980" w:type="dxa"/>
            <w:vAlign w:val="bottom"/>
            <w:gridSpan w:val="27"/>
          </w:tcPr>
          <w:p>
            <w:pPr>
              <w:spacing w:after="0"/>
              <w:rPr>
                <w:rFonts w:ascii="Arial" w:cs="Arial" w:eastAsia="Arial" w:hAnsi="Arial"/>
                <w:sz w:val="14"/>
                <w:szCs w:val="14"/>
                <w:color w:val="0000FF"/>
                <w:w w:val="99"/>
              </w:rPr>
            </w:pPr>
            <w:hyperlink r:id="rId211">
              <w:r>
                <w:rPr>
                  <w:rFonts w:ascii="Arial" w:cs="Arial" w:eastAsia="Arial" w:hAnsi="Arial"/>
                  <w:sz w:val="14"/>
                  <w:szCs w:val="14"/>
                  <w:color w:val="0000FF"/>
                  <w:w w:val="99"/>
                </w:rPr>
                <w:t>Amended and Restated Genworth Financial, Inc. 2014 Change of Control Plan (incorporated by reference to Exhibit 10.5 to the Quarterly Report on Form 10-Q of</w:t>
              </w:r>
            </w:hyperlink>
          </w:p>
        </w:tc>
      </w:tr>
      <w:tr>
        <w:trPr>
          <w:trHeight w:val="113"/>
        </w:trPr>
        <w:tc>
          <w:tcPr>
            <w:tcW w:w="1280" w:type="dxa"/>
            <w:vAlign w:val="bottom"/>
          </w:tcPr>
          <w:p>
            <w:pPr>
              <w:spacing w:after="0"/>
              <w:rPr>
                <w:sz w:val="9"/>
                <w:szCs w:val="9"/>
                <w:color w:val="auto"/>
              </w:rPr>
            </w:pPr>
          </w:p>
        </w:tc>
        <w:tc>
          <w:tcPr>
            <w:tcW w:w="374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rPr>
            </w:pPr>
            <w:hyperlink r:id="rId211">
              <w:r>
                <w:rPr>
                  <w:rFonts w:ascii="Arial" w:cs="Arial" w:eastAsia="Arial" w:hAnsi="Arial"/>
                  <w:sz w:val="13"/>
                  <w:szCs w:val="13"/>
                  <w:color w:val="0000FF"/>
                </w:rPr>
                <w:t>Genworth Financial, Inc. for the period ended June 30, 2019).</w:t>
              </w:r>
            </w:hyperlink>
          </w:p>
        </w:tc>
        <w:tc>
          <w:tcPr>
            <w:tcW w:w="6040" w:type="dxa"/>
            <w:vAlign w:val="bottom"/>
            <w:tcBorders>
              <w:top w:val="single" w:sz="8" w:color="0000FF"/>
            </w:tcBorders>
            <w:gridSpan w:val="19"/>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10.18+</w:t>
            </w:r>
          </w:p>
        </w:tc>
        <w:tc>
          <w:tcPr>
            <w:tcW w:w="9980" w:type="dxa"/>
            <w:vAlign w:val="bottom"/>
            <w:gridSpan w:val="27"/>
          </w:tcPr>
          <w:p>
            <w:pPr>
              <w:spacing w:after="0"/>
              <w:rPr>
                <w:rFonts w:ascii="Arial" w:cs="Arial" w:eastAsia="Arial" w:hAnsi="Arial"/>
                <w:sz w:val="14"/>
                <w:szCs w:val="14"/>
                <w:color w:val="0000FF"/>
                <w:w w:val="97"/>
              </w:rPr>
            </w:pPr>
            <w:hyperlink r:id="rId212">
              <w:r>
                <w:rPr>
                  <w:rFonts w:ascii="Arial" w:cs="Arial" w:eastAsia="Arial" w:hAnsi="Arial"/>
                  <w:sz w:val="14"/>
                  <w:szCs w:val="14"/>
                  <w:color w:val="0000FF"/>
                  <w:w w:val="97"/>
                </w:rPr>
                <w:t>Amended and Restated Genworth Financial, Inc. Retirement and Savings Restoration Plan (incorporated by reference to Exhibit 10.48 to the Annual Report on Form</w:t>
              </w:r>
            </w:hyperlink>
          </w:p>
        </w:tc>
      </w:tr>
      <w:tr>
        <w:trPr>
          <w:trHeight w:val="113"/>
        </w:trPr>
        <w:tc>
          <w:tcPr>
            <w:tcW w:w="1280" w:type="dxa"/>
            <w:vAlign w:val="bottom"/>
          </w:tcPr>
          <w:p>
            <w:pPr>
              <w:spacing w:after="0"/>
              <w:rPr>
                <w:sz w:val="9"/>
                <w:szCs w:val="9"/>
                <w:color w:val="auto"/>
              </w:rPr>
            </w:pPr>
          </w:p>
        </w:tc>
        <w:tc>
          <w:tcPr>
            <w:tcW w:w="9960" w:type="dxa"/>
            <w:vAlign w:val="bottom"/>
            <w:tcBorders>
              <w:top w:val="single" w:sz="8" w:color="0000FF"/>
            </w:tcBorders>
            <w:gridSpan w:val="26"/>
          </w:tcPr>
          <w:p>
            <w:pPr>
              <w:spacing w:after="0" w:line="113" w:lineRule="exact"/>
              <w:rPr>
                <w:rFonts w:ascii="Arial" w:cs="Arial" w:eastAsia="Arial" w:hAnsi="Arial"/>
                <w:sz w:val="13"/>
                <w:szCs w:val="13"/>
                <w:color w:val="0000FF"/>
              </w:rPr>
            </w:pPr>
            <w:hyperlink r:id="rId212">
              <w:r>
                <w:rPr>
                  <w:rFonts w:ascii="Arial" w:cs="Arial" w:eastAsia="Arial" w:hAnsi="Arial"/>
                  <w:sz w:val="13"/>
                  <w:szCs w:val="13"/>
                  <w:color w:val="0000FF"/>
                </w:rPr>
                <w:t>10-K of Genworth Financial, Inc. for the fiscal year ended December 31, 2015).</w:t>
              </w:r>
            </w:hyperlink>
          </w:p>
        </w:tc>
        <w:tc>
          <w:tcPr>
            <w:tcW w:w="20" w:type="dxa"/>
            <w:vAlign w:val="bottom"/>
          </w:tcPr>
          <w:p>
            <w:pPr>
              <w:spacing w:after="0"/>
              <w:rPr>
                <w:sz w:val="9"/>
                <w:szCs w:val="9"/>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10.19+</w:t>
            </w:r>
          </w:p>
        </w:tc>
        <w:tc>
          <w:tcPr>
            <w:tcW w:w="9980" w:type="dxa"/>
            <w:vAlign w:val="bottom"/>
            <w:gridSpan w:val="27"/>
          </w:tcPr>
          <w:p>
            <w:pPr>
              <w:spacing w:after="0"/>
              <w:rPr>
                <w:rFonts w:ascii="Arial" w:cs="Arial" w:eastAsia="Arial" w:hAnsi="Arial"/>
                <w:sz w:val="14"/>
                <w:szCs w:val="14"/>
                <w:color w:val="0000FF"/>
                <w:w w:val="97"/>
              </w:rPr>
            </w:pPr>
            <w:hyperlink r:id="rId213">
              <w:r>
                <w:rPr>
                  <w:rFonts w:ascii="Arial" w:cs="Arial" w:eastAsia="Arial" w:hAnsi="Arial"/>
                  <w:sz w:val="14"/>
                  <w:szCs w:val="14"/>
                  <w:color w:val="0000FF"/>
                  <w:w w:val="97"/>
                </w:rPr>
                <w:t>Amended and Restated Genworth Financial, Inc. Supplemental Executive Retirement Plan (incorporated by reference to Exhibit 10.47 to the Annual Report on Form</w:t>
              </w:r>
            </w:hyperlink>
          </w:p>
        </w:tc>
      </w:tr>
      <w:tr>
        <w:trPr>
          <w:trHeight w:val="113"/>
        </w:trPr>
        <w:tc>
          <w:tcPr>
            <w:tcW w:w="1280" w:type="dxa"/>
            <w:vAlign w:val="bottom"/>
          </w:tcPr>
          <w:p>
            <w:pPr>
              <w:spacing w:after="0"/>
              <w:rPr>
                <w:sz w:val="9"/>
                <w:szCs w:val="9"/>
                <w:color w:val="auto"/>
              </w:rPr>
            </w:pPr>
          </w:p>
        </w:tc>
        <w:tc>
          <w:tcPr>
            <w:tcW w:w="994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213">
              <w:r>
                <w:rPr>
                  <w:rFonts w:ascii="Arial" w:cs="Arial" w:eastAsia="Arial" w:hAnsi="Arial"/>
                  <w:sz w:val="13"/>
                  <w:szCs w:val="13"/>
                  <w:color w:val="0000FF"/>
                </w:rPr>
                <w:t>10-K of Genworth Financial, Inc. for the fiscal year ended December 31, 2015).</w:t>
              </w:r>
            </w:hyperlink>
          </w:p>
        </w:tc>
        <w:tc>
          <w:tcPr>
            <w:tcW w:w="40" w:type="dxa"/>
            <w:vAlign w:val="bottom"/>
            <w:gridSpan w:val="2"/>
          </w:tcPr>
          <w:p>
            <w:pPr>
              <w:spacing w:after="0"/>
              <w:rPr>
                <w:sz w:val="9"/>
                <w:szCs w:val="9"/>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10.20+</w:t>
            </w:r>
          </w:p>
        </w:tc>
        <w:tc>
          <w:tcPr>
            <w:tcW w:w="9980" w:type="dxa"/>
            <w:vAlign w:val="bottom"/>
            <w:gridSpan w:val="27"/>
          </w:tcPr>
          <w:p>
            <w:pPr>
              <w:spacing w:after="0"/>
              <w:rPr>
                <w:rFonts w:ascii="Arial" w:cs="Arial" w:eastAsia="Arial" w:hAnsi="Arial"/>
                <w:sz w:val="14"/>
                <w:szCs w:val="14"/>
                <w:color w:val="0000FF"/>
              </w:rPr>
            </w:pPr>
            <w:hyperlink r:id="rId214">
              <w:r>
                <w:rPr>
                  <w:rFonts w:ascii="Arial" w:cs="Arial" w:eastAsia="Arial" w:hAnsi="Arial"/>
                  <w:sz w:val="14"/>
                  <w:szCs w:val="14"/>
                  <w:color w:val="0000FF"/>
                </w:rPr>
                <w:t>Form of Indemnification Agreement between Enact Holdings, Inc. and its directors and officers (incorporated by reference to Exhibit 10.20 to the Company’s</w:t>
              </w:r>
            </w:hyperlink>
          </w:p>
        </w:tc>
      </w:tr>
      <w:tr>
        <w:trPr>
          <w:trHeight w:val="113"/>
        </w:trPr>
        <w:tc>
          <w:tcPr>
            <w:tcW w:w="1280" w:type="dxa"/>
            <w:vAlign w:val="bottom"/>
          </w:tcPr>
          <w:p>
            <w:pPr>
              <w:spacing w:after="0"/>
              <w:rPr>
                <w:sz w:val="9"/>
                <w:szCs w:val="9"/>
                <w:color w:val="auto"/>
              </w:rPr>
            </w:pPr>
          </w:p>
        </w:tc>
        <w:tc>
          <w:tcPr>
            <w:tcW w:w="702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rPr>
            </w:pPr>
            <w:hyperlink r:id="rId214">
              <w:r>
                <w:rPr>
                  <w:rFonts w:ascii="Arial" w:cs="Arial" w:eastAsia="Arial" w:hAnsi="Arial"/>
                  <w:sz w:val="13"/>
                  <w:szCs w:val="13"/>
                  <w:color w:val="0000FF"/>
                </w:rPr>
                <w:t>Registration Statement on Form S-1/A filed with the Securities and Exchange Commission on September 13, 2021).</w:t>
              </w:r>
            </w:hyperlink>
          </w:p>
        </w:tc>
        <w:tc>
          <w:tcPr>
            <w:tcW w:w="2400" w:type="dxa"/>
            <w:vAlign w:val="bottom"/>
            <w:tcBorders>
              <w:top w:val="single" w:sz="8" w:color="0000FF"/>
            </w:tcBorders>
            <w:gridSpan w:val="9"/>
          </w:tcPr>
          <w:p>
            <w:pPr>
              <w:spacing w:after="0"/>
              <w:rPr>
                <w:sz w:val="9"/>
                <w:szCs w:val="9"/>
                <w:color w:val="auto"/>
              </w:rPr>
            </w:pPr>
          </w:p>
        </w:tc>
        <w:tc>
          <w:tcPr>
            <w:tcW w:w="560" w:type="dxa"/>
            <w:vAlign w:val="bottom"/>
            <w:gridSpan w:val="8"/>
          </w:tcPr>
          <w:p>
            <w:pPr>
              <w:spacing w:after="0"/>
              <w:rPr>
                <w:sz w:val="9"/>
                <w:szCs w:val="9"/>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10.21*</w:t>
            </w:r>
          </w:p>
        </w:tc>
        <w:tc>
          <w:tcPr>
            <w:tcW w:w="8040" w:type="dxa"/>
            <w:vAlign w:val="bottom"/>
            <w:tcBorders>
              <w:bottom w:val="single" w:sz="8" w:color="0000FF"/>
            </w:tcBorders>
            <w:gridSpan w:val="13"/>
          </w:tcPr>
          <w:p>
            <w:pPr>
              <w:spacing w:after="0"/>
              <w:rPr>
                <w:rFonts w:ascii="Arial" w:cs="Arial" w:eastAsia="Arial" w:hAnsi="Arial"/>
                <w:sz w:val="14"/>
                <w:szCs w:val="14"/>
                <w:color w:val="0000FF"/>
                <w:w w:val="97"/>
              </w:rPr>
            </w:pPr>
            <w:hyperlink w:anchor="page280">
              <w:r>
                <w:rPr>
                  <w:rFonts w:ascii="Arial" w:cs="Arial" w:eastAsia="Arial" w:hAnsi="Arial"/>
                  <w:sz w:val="14"/>
                  <w:szCs w:val="14"/>
                  <w:color w:val="0000FF"/>
                  <w:w w:val="97"/>
                </w:rPr>
                <w:t>Registration Rights Agreement dated as of September 20, 2021 between Enact Holdings, Inc. and the Bayview entities listed therein.</w:t>
              </w:r>
            </w:hyperlink>
          </w:p>
        </w:tc>
        <w:tc>
          <w:tcPr>
            <w:tcW w:w="1940" w:type="dxa"/>
            <w:vAlign w:val="bottom"/>
            <w:gridSpan w:val="14"/>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21*</w:t>
            </w:r>
          </w:p>
        </w:tc>
        <w:tc>
          <w:tcPr>
            <w:tcW w:w="2540" w:type="dxa"/>
            <w:vAlign w:val="bottom"/>
            <w:tcBorders>
              <w:bottom w:val="single" w:sz="8" w:color="0000FF"/>
            </w:tcBorders>
            <w:gridSpan w:val="2"/>
          </w:tcPr>
          <w:p>
            <w:pPr>
              <w:spacing w:after="0"/>
              <w:rPr>
                <w:rFonts w:ascii="Arial" w:cs="Arial" w:eastAsia="Arial" w:hAnsi="Arial"/>
                <w:sz w:val="14"/>
                <w:szCs w:val="14"/>
                <w:color w:val="0000FF"/>
                <w:w w:val="97"/>
              </w:rPr>
            </w:pPr>
            <w:hyperlink w:anchor="page299">
              <w:r>
                <w:rPr>
                  <w:rFonts w:ascii="Arial" w:cs="Arial" w:eastAsia="Arial" w:hAnsi="Arial"/>
                  <w:sz w:val="14"/>
                  <w:szCs w:val="14"/>
                  <w:color w:val="0000FF"/>
                  <w:w w:val="97"/>
                </w:rPr>
                <w:t>List of subsidiaries of Enact Holdings, Inc.</w:t>
              </w:r>
            </w:hyperlink>
          </w:p>
        </w:tc>
        <w:tc>
          <w:tcPr>
            <w:tcW w:w="7440" w:type="dxa"/>
            <w:vAlign w:val="bottom"/>
            <w:gridSpan w:val="25"/>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23*</w:t>
            </w:r>
          </w:p>
        </w:tc>
        <w:tc>
          <w:tcPr>
            <w:tcW w:w="3820" w:type="dxa"/>
            <w:vAlign w:val="bottom"/>
            <w:tcBorders>
              <w:bottom w:val="single" w:sz="8" w:color="0000FF"/>
            </w:tcBorders>
            <w:gridSpan w:val="4"/>
          </w:tcPr>
          <w:p>
            <w:pPr>
              <w:spacing w:after="0"/>
              <w:rPr>
                <w:rFonts w:ascii="Arial" w:cs="Arial" w:eastAsia="Arial" w:hAnsi="Arial"/>
                <w:sz w:val="14"/>
                <w:szCs w:val="14"/>
                <w:color w:val="0000FF"/>
                <w:w w:val="97"/>
              </w:rPr>
            </w:pPr>
            <w:hyperlink w:anchor="page300">
              <w:r>
                <w:rPr>
                  <w:rFonts w:ascii="Arial" w:cs="Arial" w:eastAsia="Arial" w:hAnsi="Arial"/>
                  <w:sz w:val="14"/>
                  <w:szCs w:val="14"/>
                  <w:color w:val="0000FF"/>
                  <w:w w:val="97"/>
                </w:rPr>
                <w:t>Consent of KPMG LLP, independent registered accounting firm</w:t>
              </w:r>
            </w:hyperlink>
          </w:p>
        </w:tc>
        <w:tc>
          <w:tcPr>
            <w:tcW w:w="6160" w:type="dxa"/>
            <w:vAlign w:val="bottom"/>
            <w:gridSpan w:val="23"/>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24*</w:t>
            </w:r>
          </w:p>
        </w:tc>
        <w:tc>
          <w:tcPr>
            <w:tcW w:w="1080" w:type="dxa"/>
            <w:vAlign w:val="bottom"/>
            <w:tcBorders>
              <w:bottom w:val="single" w:sz="8" w:color="0000FF"/>
            </w:tcBorders>
          </w:tcPr>
          <w:p>
            <w:pPr>
              <w:spacing w:after="0"/>
              <w:rPr>
                <w:rFonts w:ascii="Arial" w:cs="Arial" w:eastAsia="Arial" w:hAnsi="Arial"/>
                <w:sz w:val="14"/>
                <w:szCs w:val="14"/>
                <w:color w:val="0000FF"/>
                <w:w w:val="96"/>
              </w:rPr>
            </w:pPr>
            <w:hyperlink w:anchor="page301">
              <w:r>
                <w:rPr>
                  <w:rFonts w:ascii="Arial" w:cs="Arial" w:eastAsia="Arial" w:hAnsi="Arial"/>
                  <w:sz w:val="14"/>
                  <w:szCs w:val="14"/>
                  <w:color w:val="0000FF"/>
                  <w:w w:val="96"/>
                </w:rPr>
                <w:t>Power of attorney</w:t>
              </w:r>
            </w:hyperlink>
          </w:p>
        </w:tc>
        <w:tc>
          <w:tcPr>
            <w:tcW w:w="8900" w:type="dxa"/>
            <w:vAlign w:val="bottom"/>
            <w:gridSpan w:val="26"/>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31.1*</w:t>
            </w:r>
          </w:p>
        </w:tc>
        <w:tc>
          <w:tcPr>
            <w:tcW w:w="6140" w:type="dxa"/>
            <w:vAlign w:val="bottom"/>
            <w:tcBorders>
              <w:bottom w:val="single" w:sz="8" w:color="0000FF"/>
            </w:tcBorders>
            <w:gridSpan w:val="8"/>
          </w:tcPr>
          <w:p>
            <w:pPr>
              <w:spacing w:after="0"/>
              <w:rPr>
                <w:rFonts w:ascii="Arial" w:cs="Arial" w:eastAsia="Arial" w:hAnsi="Arial"/>
                <w:sz w:val="14"/>
                <w:szCs w:val="14"/>
                <w:color w:val="0000FF"/>
                <w:w w:val="97"/>
              </w:rPr>
            </w:pPr>
            <w:hyperlink w:anchor="page302">
              <w:r>
                <w:rPr>
                  <w:rFonts w:ascii="Arial" w:cs="Arial" w:eastAsia="Arial" w:hAnsi="Arial"/>
                  <w:sz w:val="14"/>
                  <w:szCs w:val="14"/>
                  <w:color w:val="0000FF"/>
                  <w:w w:val="97"/>
                </w:rPr>
                <w:t>Certification of Principal Executive Officer Pursuant to Section 302 of the Sarbanes-Oxley Act of 2002</w:t>
              </w:r>
            </w:hyperlink>
          </w:p>
        </w:tc>
        <w:tc>
          <w:tcPr>
            <w:tcW w:w="3840" w:type="dxa"/>
            <w:vAlign w:val="bottom"/>
            <w:gridSpan w:val="19"/>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31.2*</w:t>
            </w:r>
          </w:p>
        </w:tc>
        <w:tc>
          <w:tcPr>
            <w:tcW w:w="6100" w:type="dxa"/>
            <w:vAlign w:val="bottom"/>
            <w:tcBorders>
              <w:bottom w:val="single" w:sz="8" w:color="0000FF"/>
            </w:tcBorders>
            <w:gridSpan w:val="7"/>
          </w:tcPr>
          <w:p>
            <w:pPr>
              <w:spacing w:after="0"/>
              <w:rPr>
                <w:rFonts w:ascii="Arial" w:cs="Arial" w:eastAsia="Arial" w:hAnsi="Arial"/>
                <w:sz w:val="14"/>
                <w:szCs w:val="14"/>
                <w:color w:val="0000FF"/>
                <w:w w:val="97"/>
              </w:rPr>
            </w:pPr>
            <w:hyperlink w:anchor="page303">
              <w:r>
                <w:rPr>
                  <w:rFonts w:ascii="Arial" w:cs="Arial" w:eastAsia="Arial" w:hAnsi="Arial"/>
                  <w:sz w:val="14"/>
                  <w:szCs w:val="14"/>
                  <w:color w:val="0000FF"/>
                  <w:w w:val="97"/>
                </w:rPr>
                <w:t>Certification of Principal Financial Officer Pursuant to Section 302 of the Sarbanes-Oxley Act of 2002</w:t>
              </w:r>
            </w:hyperlink>
          </w:p>
        </w:tc>
        <w:tc>
          <w:tcPr>
            <w:tcW w:w="3880" w:type="dxa"/>
            <w:vAlign w:val="bottom"/>
            <w:gridSpan w:val="20"/>
          </w:tcPr>
          <w:p>
            <w:pPr>
              <w:spacing w:after="0"/>
              <w:rPr>
                <w:sz w:val="16"/>
                <w:szCs w:val="16"/>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4"/>
                <w:szCs w:val="14"/>
                <w:color w:val="auto"/>
              </w:rPr>
              <w:t>32.1**</w:t>
            </w:r>
          </w:p>
        </w:tc>
        <w:tc>
          <w:tcPr>
            <w:tcW w:w="9980" w:type="dxa"/>
            <w:vAlign w:val="bottom"/>
            <w:gridSpan w:val="27"/>
          </w:tcPr>
          <w:p>
            <w:pPr>
              <w:spacing w:after="0"/>
              <w:rPr>
                <w:rFonts w:ascii="Arial" w:cs="Arial" w:eastAsia="Arial" w:hAnsi="Arial"/>
                <w:sz w:val="14"/>
                <w:szCs w:val="14"/>
                <w:color w:val="0000FF"/>
              </w:rPr>
            </w:pPr>
            <w:hyperlink w:anchor="page304">
              <w:r>
                <w:rPr>
                  <w:rFonts w:ascii="Arial" w:cs="Arial" w:eastAsia="Arial" w:hAnsi="Arial"/>
                  <w:sz w:val="14"/>
                  <w:szCs w:val="14"/>
                  <w:color w:val="0000FF"/>
                </w:rPr>
                <w:t>Certification of Principal Executive Officer Pursuant to 18 U.S.C. 1350, 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120015</wp:posOffset>
            </wp:positionV>
            <wp:extent cx="719074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79" w:name="page180"/>
    <w:bookmarkEnd w:id="179"/>
    <w:tbl>
      <w:tblPr>
        <w:tblLayout w:type="fixed"/>
        <w:tblInd w:w="2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auto"/>
              </w:rPr>
              <w:t>32.2**</w:t>
            </w:r>
          </w:p>
        </w:tc>
        <w:tc>
          <w:tcPr>
            <w:tcW w:w="8540" w:type="dxa"/>
            <w:vAlign w:val="bottom"/>
            <w:tcBorders>
              <w:bottom w:val="single" w:sz="8" w:color="0000FF"/>
            </w:tcBorders>
          </w:tcPr>
          <w:p>
            <w:pPr>
              <w:spacing w:after="0"/>
              <w:rPr>
                <w:rFonts w:ascii="Arial" w:cs="Arial" w:eastAsia="Arial" w:hAnsi="Arial"/>
                <w:sz w:val="14"/>
                <w:szCs w:val="14"/>
                <w:color w:val="0000FF"/>
                <w:w w:val="97"/>
              </w:rPr>
            </w:pPr>
            <w:hyperlink w:anchor="page305">
              <w:r>
                <w:rPr>
                  <w:rFonts w:ascii="Arial" w:cs="Arial" w:eastAsia="Arial" w:hAnsi="Arial"/>
                  <w:sz w:val="14"/>
                  <w:szCs w:val="14"/>
                  <w:color w:val="0000FF"/>
                  <w:w w:val="97"/>
                </w:rPr>
                <w:t>Certification of Principal Financial Officer Pursuant to 18 U.S.C. 1350, as adopted pursuant to Section 906 of the Sarbanes-Oxley Act of 2002</w:t>
              </w:r>
            </w:hyperlink>
          </w:p>
        </w:tc>
      </w:tr>
      <w:tr>
        <w:trPr>
          <w:trHeight w:val="235"/>
        </w:trPr>
        <w:tc>
          <w:tcPr>
            <w:tcW w:w="1280" w:type="dxa"/>
            <w:vAlign w:val="bottom"/>
          </w:tcPr>
          <w:p>
            <w:pPr>
              <w:spacing w:after="0"/>
              <w:rPr>
                <w:sz w:val="20"/>
                <w:szCs w:val="20"/>
                <w:color w:val="auto"/>
              </w:rPr>
            </w:pPr>
            <w:r>
              <w:rPr>
                <w:rFonts w:ascii="Arial" w:cs="Arial" w:eastAsia="Arial" w:hAnsi="Arial"/>
                <w:sz w:val="14"/>
                <w:szCs w:val="14"/>
                <w:color w:val="auto"/>
              </w:rPr>
              <w:t>101.INS*</w:t>
            </w:r>
          </w:p>
        </w:tc>
        <w:tc>
          <w:tcPr>
            <w:tcW w:w="8540" w:type="dxa"/>
            <w:vAlign w:val="bottom"/>
          </w:tcPr>
          <w:p>
            <w:pPr>
              <w:spacing w:after="0"/>
              <w:rPr>
                <w:sz w:val="20"/>
                <w:szCs w:val="20"/>
                <w:color w:val="auto"/>
              </w:rPr>
            </w:pPr>
            <w:r>
              <w:rPr>
                <w:rFonts w:ascii="Arial" w:cs="Arial" w:eastAsia="Arial" w:hAnsi="Arial"/>
                <w:sz w:val="14"/>
                <w:szCs w:val="14"/>
                <w:color w:val="auto"/>
              </w:rPr>
              <w:t>Inline XBRL Instance Document</w:t>
            </w:r>
          </w:p>
        </w:tc>
      </w:tr>
      <w:tr>
        <w:trPr>
          <w:trHeight w:val="246"/>
        </w:trPr>
        <w:tc>
          <w:tcPr>
            <w:tcW w:w="1280" w:type="dxa"/>
            <w:vAlign w:val="bottom"/>
          </w:tcPr>
          <w:p>
            <w:pPr>
              <w:spacing w:after="0"/>
              <w:rPr>
                <w:sz w:val="20"/>
                <w:szCs w:val="20"/>
                <w:color w:val="auto"/>
              </w:rPr>
            </w:pPr>
            <w:r>
              <w:rPr>
                <w:rFonts w:ascii="Arial" w:cs="Arial" w:eastAsia="Arial" w:hAnsi="Arial"/>
                <w:sz w:val="14"/>
                <w:szCs w:val="14"/>
                <w:color w:val="auto"/>
              </w:rPr>
              <w:t>101.SCH*</w:t>
            </w:r>
          </w:p>
        </w:tc>
        <w:tc>
          <w:tcPr>
            <w:tcW w:w="8540" w:type="dxa"/>
            <w:vAlign w:val="bottom"/>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46"/>
        </w:trPr>
        <w:tc>
          <w:tcPr>
            <w:tcW w:w="1280" w:type="dxa"/>
            <w:vAlign w:val="bottom"/>
          </w:tcPr>
          <w:p>
            <w:pPr>
              <w:spacing w:after="0"/>
              <w:rPr>
                <w:sz w:val="20"/>
                <w:szCs w:val="20"/>
                <w:color w:val="auto"/>
              </w:rPr>
            </w:pPr>
            <w:r>
              <w:rPr>
                <w:rFonts w:ascii="Arial" w:cs="Arial" w:eastAsia="Arial" w:hAnsi="Arial"/>
                <w:sz w:val="14"/>
                <w:szCs w:val="14"/>
                <w:color w:val="auto"/>
              </w:rPr>
              <w:t>101.CAL*</w:t>
            </w:r>
          </w:p>
        </w:tc>
        <w:tc>
          <w:tcPr>
            <w:tcW w:w="8540" w:type="dxa"/>
            <w:vAlign w:val="bottom"/>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46"/>
        </w:trPr>
        <w:tc>
          <w:tcPr>
            <w:tcW w:w="1280" w:type="dxa"/>
            <w:vAlign w:val="bottom"/>
          </w:tcPr>
          <w:p>
            <w:pPr>
              <w:spacing w:after="0"/>
              <w:rPr>
                <w:sz w:val="20"/>
                <w:szCs w:val="20"/>
                <w:color w:val="auto"/>
              </w:rPr>
            </w:pPr>
            <w:r>
              <w:rPr>
                <w:rFonts w:ascii="Arial" w:cs="Arial" w:eastAsia="Arial" w:hAnsi="Arial"/>
                <w:sz w:val="14"/>
                <w:szCs w:val="14"/>
                <w:color w:val="auto"/>
              </w:rPr>
              <w:t>101.DEF*</w:t>
            </w:r>
          </w:p>
        </w:tc>
        <w:tc>
          <w:tcPr>
            <w:tcW w:w="8540" w:type="dxa"/>
            <w:vAlign w:val="bottom"/>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6"/>
        </w:trPr>
        <w:tc>
          <w:tcPr>
            <w:tcW w:w="1280" w:type="dxa"/>
            <w:vAlign w:val="bottom"/>
          </w:tcPr>
          <w:p>
            <w:pPr>
              <w:spacing w:after="0"/>
              <w:rPr>
                <w:sz w:val="20"/>
                <w:szCs w:val="20"/>
                <w:color w:val="auto"/>
              </w:rPr>
            </w:pPr>
            <w:r>
              <w:rPr>
                <w:rFonts w:ascii="Arial" w:cs="Arial" w:eastAsia="Arial" w:hAnsi="Arial"/>
                <w:sz w:val="14"/>
                <w:szCs w:val="14"/>
                <w:color w:val="auto"/>
              </w:rPr>
              <w:t>101.LAB*</w:t>
            </w:r>
          </w:p>
        </w:tc>
        <w:tc>
          <w:tcPr>
            <w:tcW w:w="8540" w:type="dxa"/>
            <w:vAlign w:val="bottom"/>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46"/>
        </w:trPr>
        <w:tc>
          <w:tcPr>
            <w:tcW w:w="1280" w:type="dxa"/>
            <w:vAlign w:val="bottom"/>
          </w:tcPr>
          <w:p>
            <w:pPr>
              <w:spacing w:after="0"/>
              <w:rPr>
                <w:sz w:val="20"/>
                <w:szCs w:val="20"/>
                <w:color w:val="auto"/>
              </w:rPr>
            </w:pPr>
            <w:r>
              <w:rPr>
                <w:rFonts w:ascii="Arial" w:cs="Arial" w:eastAsia="Arial" w:hAnsi="Arial"/>
                <w:sz w:val="14"/>
                <w:szCs w:val="14"/>
                <w:color w:val="auto"/>
              </w:rPr>
              <w:t>101.PRE*</w:t>
            </w:r>
          </w:p>
        </w:tc>
        <w:tc>
          <w:tcPr>
            <w:tcW w:w="8540" w:type="dxa"/>
            <w:vAlign w:val="bottom"/>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93" w:lineRule="exact"/>
        <w:rPr>
          <w:sz w:val="20"/>
          <w:szCs w:val="20"/>
          <w:color w:val="auto"/>
        </w:rPr>
      </w:pPr>
    </w:p>
    <w:p>
      <w:pPr>
        <w:ind w:left="1300" w:hanging="1284"/>
        <w:spacing w:after="0"/>
        <w:tabs>
          <w:tab w:leader="none" w:pos="1300" w:val="left"/>
        </w:tabs>
        <w:numPr>
          <w:ilvl w:val="1"/>
          <w:numId w:val="87"/>
        </w:numPr>
        <w:rPr>
          <w:rFonts w:ascii="Arial" w:cs="Arial" w:eastAsia="Arial" w:hAnsi="Arial"/>
          <w:sz w:val="13"/>
          <w:szCs w:val="13"/>
          <w:color w:val="auto"/>
        </w:rPr>
      </w:pPr>
      <w:r>
        <w:rPr>
          <w:rFonts w:ascii="Arial" w:cs="Arial" w:eastAsia="Arial" w:hAnsi="Arial"/>
          <w:sz w:val="13"/>
          <w:szCs w:val="13"/>
          <w:color w:val="auto"/>
        </w:rPr>
        <w:t>The cover page for the Company’s Annual Report on Form 10-K for the year ended December 31, 2021, has been formatted in Inline XBRL</w:t>
      </w:r>
    </w:p>
    <w:p>
      <w:pPr>
        <w:spacing w:after="0" w:line="139" w:lineRule="exact"/>
        <w:rPr>
          <w:rFonts w:ascii="Arial" w:cs="Arial" w:eastAsia="Arial" w:hAnsi="Arial"/>
          <w:sz w:val="13"/>
          <w:szCs w:val="13"/>
          <w:color w:val="auto"/>
        </w:rPr>
      </w:pPr>
    </w:p>
    <w:p>
      <w:pPr>
        <w:ind w:left="100" w:hanging="98"/>
        <w:spacing w:after="0"/>
        <w:tabs>
          <w:tab w:leader="none" w:pos="1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Indicates management contact and compensatory plan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 Filed herewith</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 Furnished herewith</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9074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0159"/>
          </w:cols>
          <w:pgMar w:left="300" w:top="1333"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14"/>
          <w:szCs w:val="14"/>
          <w:b w:val="1"/>
          <w:bCs w:val="1"/>
          <w:color w:val="auto"/>
        </w:rPr>
        <w:t>SIGNATURES</w:t>
      </w:r>
    </w:p>
    <w:p>
      <w:pPr>
        <w:spacing w:after="0" w:line="347" w:lineRule="exact"/>
        <w:rPr>
          <w:sz w:val="20"/>
          <w:szCs w:val="20"/>
          <w:color w:val="auto"/>
        </w:rPr>
      </w:pPr>
    </w:p>
    <w:p>
      <w:pPr>
        <w:ind w:firstLine="246"/>
        <w:spacing w:after="0" w:line="24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February 28, 2022.</w:t>
      </w:r>
    </w:p>
    <w:p>
      <w:pPr>
        <w:spacing w:after="0" w:line="149" w:lineRule="exact"/>
        <w:rPr>
          <w:sz w:val="20"/>
          <w:szCs w:val="20"/>
          <w:color w:val="auto"/>
        </w:rPr>
      </w:pPr>
    </w:p>
    <w:tbl>
      <w:tblPr>
        <w:tblLayout w:type="fixed"/>
        <w:tblInd w:w="5740" w:type="dxa"/>
        <w:tblCellMar>
          <w:top w:w="0" w:type="dxa"/>
          <w:left w:w="0" w:type="dxa"/>
          <w:bottom w:w="0" w:type="dxa"/>
          <w:right w:w="0" w:type="dxa"/>
        </w:tblCellMar>
      </w:tblPr>
      <w:tr>
        <w:trPr>
          <w:trHeight w:val="164"/>
        </w:trPr>
        <w:tc>
          <w:tcPr>
            <w:tcW w:w="900" w:type="dxa"/>
            <w:vAlign w:val="bottom"/>
          </w:tcPr>
          <w:p>
            <w:pPr>
              <w:spacing w:after="0"/>
              <w:rPr>
                <w:sz w:val="20"/>
                <w:szCs w:val="20"/>
                <w:color w:val="auto"/>
              </w:rPr>
            </w:pPr>
            <w:r>
              <w:rPr>
                <w:rFonts w:ascii="Arial" w:cs="Arial" w:eastAsia="Arial" w:hAnsi="Arial"/>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Rohit Gupta</w:t>
            </w:r>
          </w:p>
        </w:tc>
      </w:tr>
      <w:tr>
        <w:trPr>
          <w:trHeight w:val="164"/>
        </w:trPr>
        <w:tc>
          <w:tcPr>
            <w:tcW w:w="900" w:type="dxa"/>
            <w:vAlign w:val="bottom"/>
          </w:tcPr>
          <w:p>
            <w:pPr>
              <w:spacing w:after="0"/>
              <w:rPr>
                <w:sz w:val="20"/>
                <w:szCs w:val="20"/>
                <w:color w:val="auto"/>
              </w:rPr>
            </w:pPr>
            <w:r>
              <w:rPr>
                <w:rFonts w:ascii="Arial" w:cs="Arial" w:eastAsia="Arial" w:hAnsi="Arial"/>
                <w:sz w:val="14"/>
                <w:szCs w:val="14"/>
                <w:color w:val="auto"/>
              </w:rPr>
              <w:t>Name:</w:t>
            </w:r>
          </w:p>
        </w:tc>
        <w:tc>
          <w:tcPr>
            <w:tcW w:w="4640" w:type="dxa"/>
            <w:vAlign w:val="bottom"/>
          </w:tcPr>
          <w:p>
            <w:pPr>
              <w:ind w:left="20"/>
              <w:spacing w:after="0"/>
              <w:rPr>
                <w:sz w:val="20"/>
                <w:szCs w:val="20"/>
                <w:color w:val="auto"/>
              </w:rPr>
            </w:pPr>
            <w:r>
              <w:rPr>
                <w:rFonts w:ascii="Arial" w:cs="Arial" w:eastAsia="Arial" w:hAnsi="Arial"/>
                <w:sz w:val="14"/>
                <w:szCs w:val="14"/>
                <w:color w:val="auto"/>
              </w:rPr>
              <w:t>Rohit Gupta</w:t>
            </w:r>
          </w:p>
        </w:tc>
      </w:tr>
      <w:tr>
        <w:trPr>
          <w:trHeight w:val="174"/>
        </w:trPr>
        <w:tc>
          <w:tcPr>
            <w:tcW w:w="900" w:type="dxa"/>
            <w:vAlign w:val="bottom"/>
          </w:tcPr>
          <w:p>
            <w:pPr>
              <w:spacing w:after="0"/>
              <w:rPr>
                <w:sz w:val="20"/>
                <w:szCs w:val="20"/>
                <w:color w:val="auto"/>
              </w:rPr>
            </w:pPr>
            <w:r>
              <w:rPr>
                <w:rFonts w:ascii="Arial" w:cs="Arial" w:eastAsia="Arial" w:hAnsi="Arial"/>
                <w:sz w:val="14"/>
                <w:szCs w:val="14"/>
                <w:color w:val="auto"/>
              </w:rPr>
              <w:t>Title:</w:t>
            </w:r>
          </w:p>
        </w:tc>
        <w:tc>
          <w:tcPr>
            <w:tcW w:w="46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Pursuant to the requirements of the Securities Exchange Act of 1934, this report has been signed by the following persons in the capacities indicated and on the dates indicated:</w:t>
      </w:r>
    </w:p>
    <w:p>
      <w:pPr>
        <w:sectPr>
          <w:pgSz w:w="11900" w:h="16838" w:orient="portrait"/>
          <w:cols w:equalWidth="0" w:num="1">
            <w:col w:w="11280"/>
          </w:cols>
          <w:pgMar w:left="300" w:top="738" w:right="31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jc w:val="center"/>
              <w:ind w:right="572"/>
              <w:spacing w:after="0"/>
              <w:rPr>
                <w:sz w:val="20"/>
                <w:szCs w:val="20"/>
                <w:color w:val="auto"/>
              </w:rPr>
            </w:pPr>
            <w:r>
              <w:rPr>
                <w:rFonts w:ascii="Arial" w:cs="Arial" w:eastAsia="Arial" w:hAnsi="Arial"/>
                <w:sz w:val="11"/>
                <w:szCs w:val="11"/>
                <w:b w:val="1"/>
                <w:bCs w:val="1"/>
                <w:color w:val="auto"/>
                <w:w w:val="98"/>
              </w:rPr>
              <w:t>Signature</w:t>
            </w:r>
          </w:p>
        </w:tc>
        <w:tc>
          <w:tcPr>
            <w:tcW w:w="120" w:type="dxa"/>
            <w:vAlign w:val="bottom"/>
          </w:tcPr>
          <w:p>
            <w:pPr>
              <w:spacing w:after="0"/>
              <w:rPr>
                <w:sz w:val="12"/>
                <w:szCs w:val="12"/>
                <w:color w:val="auto"/>
              </w:rPr>
            </w:pPr>
          </w:p>
        </w:tc>
      </w:tr>
      <w:tr>
        <w:trPr>
          <w:trHeight w:val="225"/>
        </w:trPr>
        <w:tc>
          <w:tcPr>
            <w:tcW w:w="660" w:type="dxa"/>
            <w:vAlign w:val="bottom"/>
          </w:tcPr>
          <w:p>
            <w:pPr>
              <w:spacing w:after="0"/>
              <w:rPr>
                <w:sz w:val="19"/>
                <w:szCs w:val="19"/>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8"/>
              </w:rPr>
              <w:t>/s/ Rohit Gupta</w:t>
            </w:r>
          </w:p>
        </w:tc>
        <w:tc>
          <w:tcPr>
            <w:tcW w:w="120" w:type="dxa"/>
            <w:vAlign w:val="bottom"/>
          </w:tcPr>
          <w:p>
            <w:pPr>
              <w:spacing w:after="0"/>
              <w:rPr>
                <w:sz w:val="19"/>
                <w:szCs w:val="19"/>
                <w:color w:val="auto"/>
              </w:rPr>
            </w:pPr>
          </w:p>
        </w:tc>
      </w:tr>
      <w:tr>
        <w:trPr>
          <w:trHeight w:val="42"/>
        </w:trPr>
        <w:tc>
          <w:tcPr>
            <w:tcW w:w="6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6"/>
              </w:rPr>
              <w:t>Rohit Gupta</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8"/>
              </w:rPr>
              <w:t>/s/ Hardin Dean Mitchell</w:t>
            </w:r>
          </w:p>
        </w:tc>
        <w:tc>
          <w:tcPr>
            <w:tcW w:w="120" w:type="dxa"/>
            <w:vAlign w:val="bottom"/>
          </w:tcPr>
          <w:p>
            <w:pPr>
              <w:spacing w:after="0"/>
              <w:rPr>
                <w:sz w:val="19"/>
                <w:szCs w:val="19"/>
                <w:color w:val="auto"/>
              </w:rPr>
            </w:pPr>
          </w:p>
        </w:tc>
      </w:tr>
      <w:tr>
        <w:trPr>
          <w:trHeight w:val="73"/>
        </w:trPr>
        <w:tc>
          <w:tcPr>
            <w:tcW w:w="66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8"/>
              </w:rPr>
              <w:t>Hardin Dean Mitchell</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6"/>
              </w:rPr>
              <w:t>/s/ James McMullen</w:t>
            </w:r>
          </w:p>
        </w:tc>
        <w:tc>
          <w:tcPr>
            <w:tcW w:w="120" w:type="dxa"/>
            <w:vAlign w:val="bottom"/>
          </w:tcPr>
          <w:p>
            <w:pPr>
              <w:spacing w:after="0"/>
              <w:rPr>
                <w:sz w:val="19"/>
                <w:szCs w:val="19"/>
                <w:color w:val="auto"/>
              </w:rPr>
            </w:pPr>
          </w:p>
        </w:tc>
      </w:tr>
      <w:tr>
        <w:trPr>
          <w:trHeight w:val="73"/>
        </w:trPr>
        <w:tc>
          <w:tcPr>
            <w:tcW w:w="66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7"/>
              </w:rPr>
              <w:t>James McMullen</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8"/>
              </w:rPr>
              <w:t>Thomas J. McInerney</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7"/>
              </w:rPr>
              <w:t>Daniel J. Sheehan IV</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7"/>
              </w:rPr>
              <w:t>Dominic Addesso</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5"/>
              </w:rPr>
              <w:t>Debra W. Still</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7"/>
              </w:rPr>
              <w:t>John D. Fisk</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7"/>
              </w:rPr>
              <w:t>Sheila Hooda</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6"/>
              </w:rPr>
              <w:t>Robert P. Restrepo Jr.</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92"/>
              <w:spacing w:after="0"/>
              <w:rPr>
                <w:sz w:val="20"/>
                <w:szCs w:val="20"/>
                <w:color w:val="auto"/>
              </w:rPr>
            </w:pPr>
            <w:r>
              <w:rPr>
                <w:rFonts w:ascii="Arial" w:cs="Arial" w:eastAsia="Arial" w:hAnsi="Arial"/>
                <w:sz w:val="14"/>
                <w:szCs w:val="14"/>
                <w:color w:val="auto"/>
                <w:w w:val="96"/>
              </w:rPr>
              <w:t>Westley V. Thompson</w:t>
            </w:r>
          </w:p>
        </w:tc>
        <w:tc>
          <w:tcPr>
            <w:tcW w:w="120" w:type="dxa"/>
            <w:vAlign w:val="bottom"/>
          </w:tcPr>
          <w:p>
            <w:pPr>
              <w:spacing w:after="0"/>
              <w:rPr>
                <w:sz w:val="14"/>
                <w:szCs w:val="14"/>
                <w:color w:val="auto"/>
              </w:rPr>
            </w:pPr>
          </w:p>
        </w:tc>
      </w:tr>
      <w:tr>
        <w:trPr>
          <w:trHeight w:val="226"/>
        </w:trPr>
        <w:tc>
          <w:tcPr>
            <w:tcW w:w="660" w:type="dxa"/>
            <w:vAlign w:val="bottom"/>
          </w:tcPr>
          <w:p>
            <w:pPr>
              <w:spacing w:after="0"/>
              <w:rPr>
                <w:sz w:val="19"/>
                <w:szCs w:val="19"/>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660" w:type="dxa"/>
            <w:vAlign w:val="bottom"/>
          </w:tcPr>
          <w:p>
            <w:pPr>
              <w:spacing w:after="0"/>
              <w:rPr>
                <w:sz w:val="14"/>
                <w:szCs w:val="14"/>
                <w:color w:val="auto"/>
              </w:rPr>
            </w:pPr>
          </w:p>
        </w:tc>
        <w:tc>
          <w:tcPr>
            <w:tcW w:w="2700" w:type="dxa"/>
            <w:vAlign w:val="bottom"/>
          </w:tcPr>
          <w:p>
            <w:pPr>
              <w:jc w:val="center"/>
              <w:ind w:right="572"/>
              <w:spacing w:after="0"/>
              <w:rPr>
                <w:sz w:val="20"/>
                <w:szCs w:val="20"/>
                <w:color w:val="auto"/>
              </w:rPr>
            </w:pPr>
            <w:r>
              <w:rPr>
                <w:rFonts w:ascii="Arial" w:cs="Arial" w:eastAsia="Arial" w:hAnsi="Arial"/>
                <w:sz w:val="14"/>
                <w:szCs w:val="14"/>
                <w:color w:val="auto"/>
                <w:w w:val="97"/>
              </w:rPr>
              <w:t>Anne G. Waleski</w:t>
            </w:r>
          </w:p>
        </w:tc>
        <w:tc>
          <w:tcPr>
            <w:tcW w:w="120" w:type="dxa"/>
            <w:vAlign w:val="bottom"/>
          </w:tcPr>
          <w:p>
            <w:pPr>
              <w:spacing w:after="0"/>
              <w:rPr>
                <w:sz w:val="14"/>
                <w:szCs w:val="14"/>
                <w:color w:val="auto"/>
              </w:rPr>
            </w:pPr>
          </w:p>
        </w:tc>
      </w:tr>
      <w:tr>
        <w:trPr>
          <w:trHeight w:val="390"/>
        </w:trPr>
        <w:tc>
          <w:tcPr>
            <w:tcW w:w="660" w:type="dxa"/>
            <w:vAlign w:val="bottom"/>
          </w:tcPr>
          <w:p>
            <w:pPr>
              <w:ind w:left="20"/>
              <w:spacing w:after="0"/>
              <w:rPr>
                <w:sz w:val="20"/>
                <w:szCs w:val="20"/>
                <w:color w:val="auto"/>
              </w:rPr>
            </w:pPr>
            <w:r>
              <w:rPr>
                <w:rFonts w:ascii="Arial" w:cs="Arial" w:eastAsia="Arial" w:hAnsi="Arial"/>
                <w:sz w:val="14"/>
                <w:szCs w:val="14"/>
                <w:color w:val="auto"/>
              </w:rPr>
              <w:t>*By:</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Rohit Gupta</w:t>
            </w:r>
          </w:p>
        </w:tc>
        <w:tc>
          <w:tcPr>
            <w:tcW w:w="120" w:type="dxa"/>
            <w:vAlign w:val="bottom"/>
            <w:tcBorders>
              <w:bottom w:val="single" w:sz="8" w:color="auto"/>
            </w:tcBorders>
          </w:tcPr>
          <w:p>
            <w:pPr>
              <w:spacing w:after="0"/>
              <w:rPr>
                <w:sz w:val="24"/>
                <w:szCs w:val="24"/>
                <w:color w:val="auto"/>
              </w:rPr>
            </w:pPr>
          </w:p>
        </w:tc>
      </w:tr>
      <w:tr>
        <w:trPr>
          <w:trHeight w:val="164"/>
        </w:trPr>
        <w:tc>
          <w:tcPr>
            <w:tcW w:w="660" w:type="dxa"/>
            <w:vAlign w:val="bottom"/>
          </w:tcPr>
          <w:p>
            <w:pPr>
              <w:spacing w:after="0"/>
              <w:rPr>
                <w:sz w:val="14"/>
                <w:szCs w:val="14"/>
                <w:color w:val="auto"/>
              </w:rPr>
            </w:pPr>
          </w:p>
        </w:tc>
        <w:tc>
          <w:tcPr>
            <w:tcW w:w="2700" w:type="dxa"/>
            <w:vAlign w:val="bottom"/>
          </w:tcPr>
          <w:p>
            <w:pPr>
              <w:ind w:left="20"/>
              <w:spacing w:after="0"/>
              <w:rPr>
                <w:sz w:val="20"/>
                <w:szCs w:val="20"/>
                <w:color w:val="auto"/>
              </w:rPr>
            </w:pPr>
            <w:r>
              <w:rPr>
                <w:rFonts w:ascii="Arial" w:cs="Arial" w:eastAsia="Arial" w:hAnsi="Arial"/>
                <w:sz w:val="14"/>
                <w:szCs w:val="14"/>
                <w:color w:val="auto"/>
              </w:rPr>
              <w:t>Rohit Gupta</w:t>
            </w:r>
          </w:p>
        </w:tc>
        <w:tc>
          <w:tcPr>
            <w:tcW w:w="120" w:type="dxa"/>
            <w:vAlign w:val="bottom"/>
          </w:tcPr>
          <w:p>
            <w:pPr>
              <w:spacing w:after="0"/>
              <w:rPr>
                <w:sz w:val="14"/>
                <w:szCs w:val="14"/>
                <w:color w:val="auto"/>
              </w:rPr>
            </w:pPr>
          </w:p>
        </w:tc>
      </w:tr>
      <w:tr>
        <w:trPr>
          <w:trHeight w:val="174"/>
        </w:trPr>
        <w:tc>
          <w:tcPr>
            <w:tcW w:w="66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Arial" w:cs="Arial" w:eastAsia="Arial" w:hAnsi="Arial"/>
                <w:sz w:val="14"/>
                <w:szCs w:val="14"/>
                <w:color w:val="auto"/>
              </w:rPr>
              <w:t>Attorney-in-Fact</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9525</wp:posOffset>
            </wp:positionV>
            <wp:extent cx="338074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3380740" cy="6350"/>
                    </a:xfrm>
                    <a:prstGeom prst="rect">
                      <a:avLst/>
                    </a:prstGeom>
                    <a:noFill/>
                  </pic:spPr>
                </pic:pic>
              </a:graphicData>
            </a:graphic>
          </wp:anchor>
        </w:drawing>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President, Chief Executive Officer and Director</w:t>
      </w:r>
    </w:p>
    <w:p>
      <w:pPr>
        <w:jc w:val="center"/>
        <w:ind w:right="780"/>
        <w:spacing w:after="0"/>
        <w:rPr>
          <w:sz w:val="20"/>
          <w:szCs w:val="20"/>
          <w:color w:val="auto"/>
        </w:rPr>
      </w:pPr>
      <w:r>
        <w:rPr>
          <w:rFonts w:ascii="Arial" w:cs="Arial" w:eastAsia="Arial" w:hAnsi="Arial"/>
          <w:sz w:val="14"/>
          <w:szCs w:val="14"/>
          <w:color w:val="auto"/>
        </w:rPr>
        <w:t>(principal executive officer)</w:t>
      </w:r>
    </w:p>
    <w:p>
      <w:pPr>
        <w:spacing w:after="0" w:line="161" w:lineRule="exact"/>
        <w:rPr>
          <w:sz w:val="20"/>
          <w:szCs w:val="20"/>
          <w:color w:val="auto"/>
        </w:rPr>
      </w:pPr>
    </w:p>
    <w:p>
      <w:pPr>
        <w:jc w:val="center"/>
        <w:ind w:right="780"/>
        <w:spacing w:after="0"/>
        <w:rPr>
          <w:sz w:val="20"/>
          <w:szCs w:val="20"/>
          <w:color w:val="auto"/>
        </w:rPr>
      </w:pPr>
      <w:r>
        <w:rPr>
          <w:rFonts w:ascii="Arial" w:cs="Arial" w:eastAsia="Arial" w:hAnsi="Arial"/>
          <w:sz w:val="13"/>
          <w:szCs w:val="13"/>
          <w:color w:val="auto"/>
        </w:rPr>
        <w:t>Executive Vice President, Chief Financial Officer and Treasurer</w:t>
      </w:r>
    </w:p>
    <w:p>
      <w:pPr>
        <w:jc w:val="center"/>
        <w:ind w:right="780"/>
        <w:spacing w:after="0"/>
        <w:rPr>
          <w:sz w:val="20"/>
          <w:szCs w:val="20"/>
          <w:color w:val="auto"/>
        </w:rPr>
      </w:pPr>
      <w:r>
        <w:rPr>
          <w:rFonts w:ascii="Arial" w:cs="Arial" w:eastAsia="Arial" w:hAnsi="Arial"/>
          <w:sz w:val="14"/>
          <w:szCs w:val="14"/>
          <w:color w:val="auto"/>
        </w:rPr>
        <w:t>(principal financial officer)</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Vice President, Controller and Principal Accounting Officer</w:t>
      </w:r>
    </w:p>
    <w:p>
      <w:pPr>
        <w:spacing w:after="0" w:line="38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70"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9525</wp:posOffset>
            </wp:positionV>
            <wp:extent cx="154368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1543685" cy="635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February 28, 2022</w:t>
      </w:r>
    </w:p>
    <w:p>
      <w:pPr>
        <w:spacing w:after="0" w:line="1065" w:lineRule="exact"/>
        <w:rPr>
          <w:sz w:val="20"/>
          <w:szCs w:val="20"/>
          <w:color w:val="auto"/>
        </w:rPr>
      </w:pPr>
    </w:p>
    <w:p>
      <w:pPr>
        <w:sectPr>
          <w:pgSz w:w="11900" w:h="16838" w:orient="portrait"/>
          <w:cols w:equalWidth="0" w:num="3">
            <w:col w:w="3480" w:space="720"/>
            <w:col w:w="4600" w:space="720"/>
            <w:col w:w="1760"/>
          </w:cols>
          <w:pgMar w:left="300" w:top="7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280"/>
          </w:cols>
          <w:pgMar w:left="300" w:top="738" w:right="31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CERTIFICATE OF INCORPORATION</w:t>
      </w:r>
    </w:p>
    <w:p>
      <w:pPr>
        <w:jc w:val="center"/>
        <w:spacing w:after="0" w:line="214" w:lineRule="auto"/>
        <w:rPr>
          <w:sz w:val="20"/>
          <w:szCs w:val="20"/>
          <w:color w:val="auto"/>
        </w:rPr>
      </w:pPr>
      <w:r>
        <w:rPr>
          <w:rFonts w:ascii="Arial" w:cs="Arial" w:eastAsia="Arial" w:hAnsi="Arial"/>
          <w:sz w:val="16"/>
          <w:szCs w:val="16"/>
          <w:color w:val="auto"/>
        </w:rPr>
        <w:t>OF</w:t>
      </w:r>
    </w:p>
    <w:p>
      <w:pPr>
        <w:jc w:val="center"/>
        <w:spacing w:after="0"/>
        <w:rPr>
          <w:sz w:val="20"/>
          <w:szCs w:val="20"/>
          <w:color w:val="auto"/>
        </w:rPr>
      </w:pPr>
      <w:r>
        <w:rPr>
          <w:rFonts w:ascii="Arial" w:cs="Arial" w:eastAsia="Arial" w:hAnsi="Arial"/>
          <w:sz w:val="16"/>
          <w:szCs w:val="16"/>
          <w:color w:val="auto"/>
        </w:rPr>
        <w:t>ENACT HOLDINGS, INC.</w:t>
      </w:r>
    </w:p>
    <w:p>
      <w:pPr>
        <w:spacing w:after="0" w:line="151" w:lineRule="exact"/>
        <w:rPr>
          <w:sz w:val="20"/>
          <w:szCs w:val="20"/>
          <w:color w:val="auto"/>
        </w:rPr>
      </w:pPr>
    </w:p>
    <w:p>
      <w:pPr>
        <w:ind w:right="360" w:firstLine="492"/>
        <w:spacing w:after="0" w:line="233" w:lineRule="auto"/>
        <w:rPr>
          <w:sz w:val="20"/>
          <w:szCs w:val="20"/>
          <w:color w:val="auto"/>
        </w:rPr>
      </w:pPr>
      <w:r>
        <w:rPr>
          <w:rFonts w:ascii="Arial" w:cs="Arial" w:eastAsia="Arial" w:hAnsi="Arial"/>
          <w:sz w:val="16"/>
          <w:szCs w:val="16"/>
          <w:color w:val="auto"/>
        </w:rPr>
        <w:t>Pursuant to Section 103 of the General Corporation Law of the State of Delaware (as may be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 the undersigned, Rohit Gupta, President, Chief Executive Officer and Director of Enact Holdings, Inc., a corporation organized and existing under the laws of the State of 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as follows:</w:t>
      </w:r>
    </w:p>
    <w:p>
      <w:pPr>
        <w:spacing w:after="0" w:line="141" w:lineRule="exact"/>
        <w:rPr>
          <w:sz w:val="20"/>
          <w:szCs w:val="20"/>
          <w:color w:val="auto"/>
        </w:rPr>
      </w:pPr>
    </w:p>
    <w:p>
      <w:pPr>
        <w:ind w:left="740" w:hanging="246"/>
        <w:spacing w:after="0"/>
        <w:tabs>
          <w:tab w:leader="none" w:pos="7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present name of the Corporation is Enact Holdings, Inc.</w:t>
      </w:r>
    </w:p>
    <w:p>
      <w:pPr>
        <w:spacing w:after="0" w:line="164" w:lineRule="exact"/>
        <w:rPr>
          <w:rFonts w:ascii="Arial" w:cs="Arial" w:eastAsia="Arial" w:hAnsi="Arial"/>
          <w:sz w:val="16"/>
          <w:szCs w:val="16"/>
          <w:color w:val="auto"/>
        </w:rPr>
      </w:pPr>
    </w:p>
    <w:p>
      <w:pPr>
        <w:jc w:val="both"/>
        <w:ind w:right="20" w:firstLine="494"/>
        <w:spacing w:after="0" w:line="228" w:lineRule="auto"/>
        <w:tabs>
          <w:tab w:leader="none" w:pos="9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Corporation was originally incorporated under the name “Genworth Mortgage Holdings, Inc.” by the filing of its original Certificate of Incorporation of the Corporation (as heretofore amended or supplemented, the “</w:t>
      </w:r>
      <w:r>
        <w:rPr>
          <w:rFonts w:ascii="Arial" w:cs="Arial" w:eastAsia="Arial" w:hAnsi="Arial"/>
          <w:sz w:val="16"/>
          <w:szCs w:val="16"/>
          <w:u w:val="single" w:color="auto"/>
          <w:color w:val="auto"/>
        </w:rPr>
        <w:t>Original Certificate of Incorporation</w:t>
      </w:r>
      <w:r>
        <w:rPr>
          <w:rFonts w:ascii="Arial" w:cs="Arial" w:eastAsia="Arial" w:hAnsi="Arial"/>
          <w:sz w:val="16"/>
          <w:szCs w:val="16"/>
          <w:color w:val="auto"/>
        </w:rPr>
        <w:t>”) with the Secretary of State of the State of Delaware on December 12, 2012. The Original Certificate of Incorporation was amended and restated by the filing of the Amended and Restated Certificate of Incorporation of the Corporation (the “</w:t>
      </w:r>
      <w:r>
        <w:rPr>
          <w:rFonts w:ascii="Arial" w:cs="Arial" w:eastAsia="Arial" w:hAnsi="Arial"/>
          <w:sz w:val="16"/>
          <w:szCs w:val="16"/>
          <w:u w:val="single" w:color="auto"/>
          <w:color w:val="auto"/>
        </w:rPr>
        <w:t>Amended and Restated Certificate</w:t>
      </w:r>
      <w:r>
        <w:rPr>
          <w:rFonts w:ascii="Arial" w:cs="Arial" w:eastAsia="Arial" w:hAnsi="Arial"/>
          <w:sz w:val="16"/>
          <w:szCs w:val="16"/>
          <w:color w:val="auto"/>
        </w:rPr>
        <w:t>”) with the Secretary of State of the State of Delaware on May 3, 2021.</w:t>
      </w:r>
    </w:p>
    <w:p>
      <w:pPr>
        <w:spacing w:after="0" w:line="142" w:lineRule="exact"/>
        <w:rPr>
          <w:rFonts w:ascii="Arial" w:cs="Arial" w:eastAsia="Arial" w:hAnsi="Arial"/>
          <w:sz w:val="16"/>
          <w:szCs w:val="16"/>
          <w:color w:val="auto"/>
        </w:rPr>
      </w:pPr>
    </w:p>
    <w:p>
      <w:pPr>
        <w:ind w:right="80" w:firstLine="494"/>
        <w:spacing w:after="0" w:line="233" w:lineRule="auto"/>
        <w:tabs>
          <w:tab w:leader="none" w:pos="9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has, on May 3, 2021, authorized the amendment and restatement of the Amended and Restated Certificate as set forth herein in accordance with the provisions of Sections 141(f), 242 and 245 of the DGCL. The sole stockholder of the Corporation has adopted the Amended and Restated Certificate by written consent in accordance with Section 228 of the DGCL.</w:t>
      </w:r>
    </w:p>
    <w:p>
      <w:pPr>
        <w:spacing w:after="0" w:line="135" w:lineRule="exact"/>
        <w:rPr>
          <w:rFonts w:ascii="Arial" w:cs="Arial" w:eastAsia="Arial" w:hAnsi="Arial"/>
          <w:sz w:val="16"/>
          <w:szCs w:val="16"/>
          <w:color w:val="auto"/>
        </w:rPr>
      </w:pPr>
    </w:p>
    <w:p>
      <w:pPr>
        <w:ind w:left="740" w:hanging="246"/>
        <w:spacing w:after="0"/>
        <w:tabs>
          <w:tab w:leader="none" w:pos="7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(the “</w:t>
      </w:r>
      <w:r>
        <w:rPr>
          <w:rFonts w:ascii="Arial" w:cs="Arial" w:eastAsia="Arial" w:hAnsi="Arial"/>
          <w:sz w:val="16"/>
          <w:szCs w:val="16"/>
          <w:u w:val="single" w:color="auto"/>
          <w:color w:val="auto"/>
        </w:rPr>
        <w:t>Certificate of</w:t>
      </w:r>
    </w:p>
    <w:p>
      <w:pPr>
        <w:spacing w:after="0"/>
        <w:rPr>
          <w:sz w:val="20"/>
          <w:szCs w:val="20"/>
          <w:color w:val="auto"/>
        </w:rPr>
      </w:pPr>
      <w:r>
        <w:rPr>
          <w:rFonts w:ascii="Arial" w:cs="Arial" w:eastAsia="Arial" w:hAnsi="Arial"/>
          <w:sz w:val="16"/>
          <w:szCs w:val="16"/>
          <w:u w:val="single" w:color="auto"/>
          <w:color w:val="auto"/>
        </w:rPr>
        <w:t>Incorporation</w:t>
      </w:r>
      <w:r>
        <w:rPr>
          <w:rFonts w:ascii="Arial" w:cs="Arial" w:eastAsia="Arial" w:hAnsi="Arial"/>
          <w:sz w:val="16"/>
          <w:szCs w:val="16"/>
          <w:color w:val="auto"/>
        </w:rPr>
        <w:t>”) restates and integrates and further amends the Amended and Restated Certificate.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text of the Amended and Restated Certificate is hereby amended, integrated and restated in its entirety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NAME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 of the Corporation is Enact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REGISTERED OFFICE AND AGENT</w:t>
      </w:r>
    </w:p>
    <w:p>
      <w:pPr>
        <w:spacing w:after="0" w:line="165" w:lineRule="exact"/>
        <w:rPr>
          <w:sz w:val="20"/>
          <w:szCs w:val="20"/>
          <w:color w:val="auto"/>
        </w:rPr>
      </w:pPr>
    </w:p>
    <w:p>
      <w:pPr>
        <w:ind w:right="20" w:firstLine="492"/>
        <w:spacing w:after="0" w:line="245" w:lineRule="auto"/>
        <w:rPr>
          <w:sz w:val="20"/>
          <w:szCs w:val="20"/>
          <w:color w:val="auto"/>
        </w:rPr>
      </w:pPr>
      <w:r>
        <w:rPr>
          <w:rFonts w:ascii="Arial" w:cs="Arial" w:eastAsia="Arial" w:hAnsi="Arial"/>
          <w:sz w:val="16"/>
          <w:szCs w:val="16"/>
          <w:color w:val="auto"/>
        </w:rPr>
        <w:t>The address of the registered office of the Corporation in the State of Delaware is 251 Little Falls Drive, Wilmington, Delaware, County of New Castle, 19808. The name of its registered agent at such address is Corporation Service Company.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PURPOSE</w:t>
      </w:r>
    </w:p>
    <w:p>
      <w:pPr>
        <w:spacing w:after="0" w:line="165"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The purpose of the Corporation is to engage in any lawful act or activity for which a corporation may be organized under the DGCL, as from time to time amended.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08" w:right="3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6"/>
          <w:szCs w:val="16"/>
          <w:color w:val="auto"/>
        </w:rPr>
        <w:t>ARTICLE IV</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SHARES OF STOCK</w:t>
      </w:r>
    </w:p>
    <w:p>
      <w:pPr>
        <w:spacing w:after="0" w:line="165" w:lineRule="exact"/>
        <w:rPr>
          <w:sz w:val="20"/>
          <w:szCs w:val="20"/>
          <w:color w:val="auto"/>
        </w:rPr>
      </w:pPr>
    </w:p>
    <w:p>
      <w:pPr>
        <w:ind w:right="60" w:firstLine="492"/>
        <w:spacing w:after="0" w:line="233" w:lineRule="auto"/>
        <w:rPr>
          <w:sz w:val="20"/>
          <w:szCs w:val="20"/>
          <w:color w:val="auto"/>
        </w:rPr>
      </w:pPr>
      <w:r>
        <w:rPr>
          <w:rFonts w:ascii="Arial" w:cs="Arial" w:eastAsia="Arial" w:hAnsi="Arial"/>
          <w:sz w:val="16"/>
          <w:szCs w:val="16"/>
          <w:color w:val="auto"/>
        </w:rPr>
        <w:t>The total number of shares of stock which the Corporation shall have authority to issue is six hundred and fifty million (650,000,000) shares, which shall consist of six hundred million (600,000,000) shares of common stock, each having a par value of one cent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fifty million (50,000,000) shares of preferred stock, each having a par value of one cent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141" w:lineRule="exact"/>
        <w:rPr>
          <w:sz w:val="20"/>
          <w:szCs w:val="20"/>
          <w:color w:val="auto"/>
        </w:rPr>
      </w:pPr>
    </w:p>
    <w:p>
      <w:pPr>
        <w:ind w:left="980" w:hanging="486"/>
        <w:spacing w:after="0"/>
        <w:tabs>
          <w:tab w:leader="none" w:pos="98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The powers, preferences and rights, and the qualifications, limitations and restrictions, of the Common Stock are as follows:</w:t>
      </w:r>
    </w:p>
    <w:p>
      <w:pPr>
        <w:spacing w:after="0" w:line="164" w:lineRule="exact"/>
        <w:rPr>
          <w:rFonts w:ascii="Arial" w:cs="Arial" w:eastAsia="Arial" w:hAnsi="Arial"/>
          <w:sz w:val="16"/>
          <w:szCs w:val="16"/>
          <w:color w:val="auto"/>
        </w:rPr>
      </w:pPr>
    </w:p>
    <w:p>
      <w:pPr>
        <w:ind w:right="20" w:firstLine="1479"/>
        <w:spacing w:after="0" w:line="223" w:lineRule="auto"/>
        <w:tabs>
          <w:tab w:leader="none" w:pos="1964" w:val="left"/>
        </w:tabs>
        <w:numPr>
          <w:ilvl w:val="1"/>
          <w:numId w:val="89"/>
        </w:numPr>
        <w:rPr>
          <w:rFonts w:ascii="Arial" w:cs="Arial" w:eastAsia="Arial" w:hAnsi="Arial"/>
          <w:sz w:val="16"/>
          <w:szCs w:val="16"/>
          <w:color w:val="auto"/>
        </w:rPr>
      </w:pPr>
      <w:r>
        <w:rPr>
          <w:rFonts w:ascii="Arial" w:cs="Arial" w:eastAsia="Arial" w:hAnsi="Arial"/>
          <w:sz w:val="16"/>
          <w:szCs w:val="16"/>
          <w:color w:val="auto"/>
        </w:rPr>
        <w:t>Each holder of record of shares of Common Stock shall be entitled to one vote for each share of Common Stock held on all matters submitted to a vote of stockholders of the Corporation on which holders of Common Stock are entitled to vote; provided, however, that, except as otherwise required by law, holders of Common Stock, as such,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the DGCL.</w:t>
      </w:r>
    </w:p>
    <w:p>
      <w:pPr>
        <w:spacing w:after="0" w:line="143" w:lineRule="exact"/>
        <w:rPr>
          <w:rFonts w:ascii="Arial" w:cs="Arial" w:eastAsia="Arial" w:hAnsi="Arial"/>
          <w:sz w:val="16"/>
          <w:szCs w:val="16"/>
          <w:color w:val="auto"/>
        </w:rPr>
      </w:pPr>
    </w:p>
    <w:p>
      <w:pPr>
        <w:ind w:left="2460" w:hanging="488"/>
        <w:spacing w:after="0"/>
        <w:tabs>
          <w:tab w:leader="none" w:pos="2460"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holders of shares of Common Stock shall not have cumulative voting rights (as defined in Section 214 of the DGCL).</w:t>
      </w:r>
    </w:p>
    <w:p>
      <w:pPr>
        <w:spacing w:after="0" w:line="164" w:lineRule="exact"/>
        <w:rPr>
          <w:rFonts w:ascii="Arial" w:cs="Arial" w:eastAsia="Arial" w:hAnsi="Arial"/>
          <w:sz w:val="16"/>
          <w:szCs w:val="16"/>
          <w:color w:val="auto"/>
        </w:rPr>
      </w:pPr>
    </w:p>
    <w:p>
      <w:pPr>
        <w:ind w:firstLine="1479"/>
        <w:spacing w:after="0" w:line="233" w:lineRule="auto"/>
        <w:tabs>
          <w:tab w:leader="none" w:pos="1968" w:val="left"/>
        </w:tabs>
        <w:numPr>
          <w:ilvl w:val="1"/>
          <w:numId w:val="89"/>
        </w:numPr>
        <w:rPr>
          <w:rFonts w:ascii="Arial" w:cs="Arial" w:eastAsia="Arial" w:hAnsi="Arial"/>
          <w:sz w:val="16"/>
          <w:szCs w:val="16"/>
          <w:color w:val="auto"/>
        </w:rPr>
      </w:pPr>
      <w:r>
        <w:rPr>
          <w:rFonts w:ascii="Arial" w:cs="Arial" w:eastAsia="Arial" w:hAnsi="Arial"/>
          <w:sz w:val="16"/>
          <w:szCs w:val="16"/>
          <w:color w:val="auto"/>
        </w:rPr>
        <w:t>Subject to the rights of the holders of Preferred Stock, and subject to any other provisions of this Certificate of Incorporation, holders of shares of Common Stock shall be entitled to receive such dividends in cash, stock or property of the Corporation if, as and when declared thereon by the Board of Directors from time to time out of assets or funds of the Corporation legally available therefor.</w:t>
      </w:r>
    </w:p>
    <w:p>
      <w:pPr>
        <w:spacing w:after="0" w:line="141" w:lineRule="exact"/>
        <w:rPr>
          <w:rFonts w:ascii="Arial" w:cs="Arial" w:eastAsia="Arial" w:hAnsi="Arial"/>
          <w:sz w:val="16"/>
          <w:szCs w:val="16"/>
          <w:color w:val="auto"/>
        </w:rPr>
      </w:pPr>
    </w:p>
    <w:p>
      <w:pPr>
        <w:jc w:val="both"/>
        <w:ind w:firstLine="1479"/>
        <w:spacing w:after="0" w:line="228" w:lineRule="auto"/>
        <w:tabs>
          <w:tab w:leader="none" w:pos="1963"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winding-up of the Corporation, whether voluntary or involuntary, after payment or provision for the payment of the debt and liabilities of the Corporation and subject to the prior payment in full of the preferential amounts, if any, to which any series of Preferred Stock may be entitled, the holders of shares of Common Stock shall be entitled to receive the assets and funds of the Corporation remaining for distribution in proportion to the number of shares held by them, respectively.</w:t>
      </w:r>
    </w:p>
    <w:p>
      <w:pPr>
        <w:spacing w:after="0" w:line="142" w:lineRule="exact"/>
        <w:rPr>
          <w:rFonts w:ascii="Arial" w:cs="Arial" w:eastAsia="Arial" w:hAnsi="Arial"/>
          <w:sz w:val="16"/>
          <w:szCs w:val="16"/>
          <w:color w:val="auto"/>
        </w:rPr>
      </w:pPr>
    </w:p>
    <w:p>
      <w:pPr>
        <w:ind w:left="1960" w:hanging="481"/>
        <w:spacing w:after="0"/>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 holder of shares of Common Stock shall be entitled to preemptive or subscription rights.</w:t>
      </w:r>
    </w:p>
    <w:p>
      <w:pPr>
        <w:spacing w:after="0" w:line="164" w:lineRule="exact"/>
        <w:rPr>
          <w:rFonts w:ascii="Arial" w:cs="Arial" w:eastAsia="Arial" w:hAnsi="Arial"/>
          <w:sz w:val="16"/>
          <w:szCs w:val="16"/>
          <w:color w:val="auto"/>
        </w:rPr>
      </w:pPr>
    </w:p>
    <w:p>
      <w:pPr>
        <w:ind w:right="40" w:firstLine="494"/>
        <w:spacing w:after="0" w:line="238" w:lineRule="auto"/>
        <w:tabs>
          <w:tab w:leader="none" w:pos="981"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Preferred Stock</w:t>
      </w:r>
      <w:r>
        <w:rPr>
          <w:rFonts w:ascii="Arial" w:cs="Arial" w:eastAsia="Arial" w:hAnsi="Arial"/>
          <w:sz w:val="15"/>
          <w:szCs w:val="15"/>
          <w:color w:val="auto"/>
        </w:rPr>
        <w:t>. The Board of Directors is expressly authorized to provide out of the unissued shares of Preferred Stock, for one or more series of Preferred Stock, and, with respect to each such series, to fix for each such series such voting powers, full or limited, or no voting powers, and the number of shares constituting such series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series and as may be permitted by the DGCL.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098" w:right="319" w:bottom="1440" w:gutter="0" w:footer="0" w:header="0"/>
        </w:sectPr>
      </w:pPr>
    </w:p>
    <w:bookmarkStart w:id="183" w:name="page184"/>
    <w:bookmarkEnd w:id="183"/>
    <w:p>
      <w:pPr>
        <w:jc w:val="both"/>
        <w:ind w:right="260" w:firstLine="494"/>
        <w:spacing w:after="0" w:line="228" w:lineRule="auto"/>
        <w:tabs>
          <w:tab w:leader="none" w:pos="98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 Class Vote on Changes in Authorized Number of Shares of Stock</w:t>
      </w:r>
      <w:r>
        <w:rPr>
          <w:rFonts w:ascii="Arial" w:cs="Arial" w:eastAsia="Arial" w:hAnsi="Arial"/>
          <w:sz w:val="16"/>
          <w:szCs w:val="16"/>
          <w:color w:val="auto"/>
        </w:rPr>
        <w:t>. Subject to the rights of the holders of any series of Preferred Stock, the number of authorized shares of Common Stock or Preferred Stock may be increased or decreased (but not below the number of shares thereof then outstanding) by the affirmative vote of the holders of shares of stock representing a majority of the voting power of all the then-outstanding shares of stock of the Corporation entitled to vote thereon irrespective of the provisions of Section 242(b)(2) of the DGCL.</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V</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TERM</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Corporation shall have perpetual existence.</w:t>
      </w:r>
    </w:p>
    <w:p>
      <w:pPr>
        <w:spacing w:after="0" w:line="1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ARTICLE VI</w:t>
      </w:r>
    </w:p>
    <w:p>
      <w:pPr>
        <w:spacing w:after="0" w:line="165" w:lineRule="exact"/>
        <w:rPr>
          <w:sz w:val="20"/>
          <w:szCs w:val="20"/>
          <w:color w:val="auto"/>
        </w:rPr>
      </w:pPr>
    </w:p>
    <w:p>
      <w:pPr>
        <w:ind w:left="5180"/>
        <w:spacing w:after="0"/>
        <w:rPr>
          <w:sz w:val="20"/>
          <w:szCs w:val="20"/>
          <w:color w:val="auto"/>
        </w:rPr>
      </w:pPr>
      <w:r>
        <w:rPr>
          <w:rFonts w:ascii="Arial" w:cs="Arial" w:eastAsia="Arial" w:hAnsi="Arial"/>
          <w:sz w:val="16"/>
          <w:szCs w:val="16"/>
          <w:u w:val="single" w:color="auto"/>
          <w:color w:val="auto"/>
        </w:rPr>
        <w:t>DIRECTORS</w:t>
      </w:r>
    </w:p>
    <w:p>
      <w:pPr>
        <w:spacing w:after="0" w:line="165" w:lineRule="exact"/>
        <w:rPr>
          <w:sz w:val="20"/>
          <w:szCs w:val="20"/>
          <w:color w:val="auto"/>
        </w:rPr>
      </w:pPr>
    </w:p>
    <w:p>
      <w:pPr>
        <w:ind w:firstLine="492"/>
        <w:spacing w:after="0" w:line="245" w:lineRule="auto"/>
        <w:rPr>
          <w:sz w:val="20"/>
          <w:szCs w:val="20"/>
          <w:color w:val="auto"/>
        </w:rPr>
      </w:pPr>
      <w:r>
        <w:rPr>
          <w:rFonts w:ascii="Arial" w:cs="Arial" w:eastAsia="Arial" w:hAnsi="Arial"/>
          <w:sz w:val="16"/>
          <w:szCs w:val="16"/>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37" w:lineRule="exact"/>
        <w:rPr>
          <w:sz w:val="20"/>
          <w:szCs w:val="20"/>
          <w:color w:val="auto"/>
        </w:rPr>
      </w:pPr>
    </w:p>
    <w:p>
      <w:pPr>
        <w:ind w:right="100" w:firstLine="494"/>
        <w:spacing w:after="0" w:line="228" w:lineRule="auto"/>
        <w:tabs>
          <w:tab w:leader="none" w:pos="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business and affairs of the Corporation shall be managed by or under the direction of the Board of Directors. In addition to the powers and authority expressly conferred upon the Board of Directors by applicable law, this Certificate of Incorporation or the Amended and Restated Bylaws of the Corporation (as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the directors are hereby empowered to exercise all such powers and do all such acts and things as may be exercised or done by the Corporation, subject to the provisions of the DGCL and this Certificate of Incorporation.</w:t>
      </w:r>
    </w:p>
    <w:p>
      <w:pPr>
        <w:spacing w:after="0" w:line="142" w:lineRule="exact"/>
        <w:rPr>
          <w:rFonts w:ascii="Arial" w:cs="Arial" w:eastAsia="Arial" w:hAnsi="Arial"/>
          <w:sz w:val="16"/>
          <w:szCs w:val="16"/>
          <w:color w:val="auto"/>
        </w:rPr>
      </w:pPr>
    </w:p>
    <w:p>
      <w:pPr>
        <w:jc w:val="both"/>
        <w:ind w:right="80" w:firstLine="494"/>
        <w:spacing w:after="0" w:line="233" w:lineRule="auto"/>
        <w:tabs>
          <w:tab w:leader="none" w:pos="9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Subject to the terms and conditions of the Master Agreement, between the Corporation and Genworth Financial, Inc. (“</w:t>
      </w:r>
      <w:r>
        <w:rPr>
          <w:rFonts w:ascii="Arial" w:cs="Arial" w:eastAsia="Arial" w:hAnsi="Arial"/>
          <w:sz w:val="16"/>
          <w:szCs w:val="16"/>
          <w:u w:val="single" w:color="auto"/>
          <w:color w:val="auto"/>
        </w:rPr>
        <w:t>Parent</w:t>
      </w:r>
      <w:r>
        <w:rPr>
          <w:rFonts w:ascii="Arial" w:cs="Arial" w:eastAsia="Arial" w:hAnsi="Arial"/>
          <w:sz w:val="16"/>
          <w:szCs w:val="16"/>
          <w:color w:val="auto"/>
        </w:rPr>
        <w:t>”), dated as of the date hereof (as may be amended, supplemented, restated or otherwise modified from time to time, the “</w:t>
      </w:r>
      <w:r>
        <w:rPr>
          <w:rFonts w:ascii="Arial" w:cs="Arial" w:eastAsia="Arial" w:hAnsi="Arial"/>
          <w:sz w:val="16"/>
          <w:szCs w:val="16"/>
          <w:u w:val="single" w:color="auto"/>
          <w:color w:val="auto"/>
        </w:rPr>
        <w:t>Master Agreement</w:t>
      </w:r>
      <w:r>
        <w:rPr>
          <w:rFonts w:ascii="Arial" w:cs="Arial" w:eastAsia="Arial" w:hAnsi="Arial"/>
          <w:sz w:val="16"/>
          <w:szCs w:val="16"/>
          <w:color w:val="auto"/>
        </w:rPr>
        <w:t>”), the number of directors of the Corporation shall be fixed from time to time exclusively by resolution of the Board of Directors.</w:t>
      </w:r>
    </w:p>
    <w:p>
      <w:pPr>
        <w:spacing w:after="0" w:line="141" w:lineRule="exact"/>
        <w:rPr>
          <w:rFonts w:ascii="Arial" w:cs="Arial" w:eastAsia="Arial" w:hAnsi="Arial"/>
          <w:sz w:val="16"/>
          <w:szCs w:val="16"/>
          <w:color w:val="auto"/>
        </w:rPr>
      </w:pPr>
    </w:p>
    <w:p>
      <w:pPr>
        <w:ind w:right="20" w:firstLine="494"/>
        <w:spacing w:after="0" w:line="245" w:lineRule="auto"/>
        <w:tabs>
          <w:tab w:leader="none" w:pos="9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director shall hold office until the next annual meeting of stockholders and until his or her successor has been duly elected and qualified, or until his or her earlier death, resignation, retirement, disqualification or removal.</w:t>
      </w:r>
    </w:p>
    <w:p>
      <w:pPr>
        <w:spacing w:after="0" w:line="137" w:lineRule="exact"/>
        <w:rPr>
          <w:rFonts w:ascii="Arial" w:cs="Arial" w:eastAsia="Arial" w:hAnsi="Arial"/>
          <w:sz w:val="16"/>
          <w:szCs w:val="16"/>
          <w:color w:val="auto"/>
        </w:rPr>
      </w:pPr>
    </w:p>
    <w:p>
      <w:pPr>
        <w:ind w:right="80" w:firstLine="494"/>
        <w:spacing w:after="0" w:line="225" w:lineRule="auto"/>
        <w:tabs>
          <w:tab w:leader="none" w:pos="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Subject to the terms and conditions of the Master Agreement and the rights of one or more series of Preferred Stock then outstanding, (i) any newly created directorship or any vacancy on the Board of Directors for any cause, shall be filled solely by a majority of the directors then in office, even if less than a quorum remains, or by the sole remaining director. Any director elected to fill a vacancy or newly created directorship shall hold office until the next annual meeting of stockholders and until his or her successor has been duly elected and qualified, or until his or her earlier death, resignation, retirement, disqualification or removal and (ii) the right of stockholders to fill vacancies on the Board of Directors is hereby specifically denied.</w:t>
      </w:r>
    </w:p>
    <w:p>
      <w:pPr>
        <w:spacing w:after="0" w:line="142" w:lineRule="exact"/>
        <w:rPr>
          <w:rFonts w:ascii="Arial" w:cs="Arial" w:eastAsia="Arial" w:hAnsi="Arial"/>
          <w:sz w:val="16"/>
          <w:szCs w:val="16"/>
          <w:color w:val="auto"/>
        </w:rPr>
      </w:pPr>
    </w:p>
    <w:p>
      <w:pPr>
        <w:ind w:right="80" w:firstLine="494"/>
        <w:spacing w:after="0" w:line="245" w:lineRule="auto"/>
        <w:tabs>
          <w:tab w:leader="none" w:pos="982"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the foregoing, the election, term, removal and filling of vacancies with respect to directors, if any, elected separately by the holders of one or more classes or series of Preferred Stock shall not be governed by this Article VI, but rather shall be as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00" w:top="1282" w:right="3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color w:val="auto"/>
        </w:rPr>
        <w:t>provided for in the resolutions adopted by the Board of Directors creating and establishing such class or series of Preferred Stock.</w:t>
      </w:r>
    </w:p>
    <w:p>
      <w:pPr>
        <w:spacing w:after="0" w:line="165" w:lineRule="exact"/>
        <w:rPr>
          <w:sz w:val="20"/>
          <w:szCs w:val="20"/>
          <w:color w:val="auto"/>
        </w:rPr>
      </w:pPr>
    </w:p>
    <w:p>
      <w:pPr>
        <w:ind w:right="40" w:firstLine="494"/>
        <w:spacing w:after="0" w:line="258" w:lineRule="auto"/>
        <w:tabs>
          <w:tab w:leader="none" w:pos="971"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 director shall be personally liable to the Corporation or any of its stockholders for monetary damages for breach of fiduciary duty as a director, except to the extent such exemption from liability thereof is not permitted under the DGCL as the same exists or may hereafter be amended. Any amendment, repeal or modification of this Section F of this Article VI, or the adoption of any provision inconsistent with this Section F of this Article VI, shall not adversely affect any right or protection of a director of the Corporation existing at the time of such amendment, repeal or modification with respect to acts or omissions occurring prior to such amendment, repeal or modification. If the DGCL hereafter is amended to eliminate or limit the liability of a director, then a director of the Corporation, in addition to the circumstances in which a director is not personally liable as set forth in the preceding sentence, shall not be liable to the fullest extent permitted by the DGCL, as so amended.</w:t>
      </w:r>
    </w:p>
    <w:p>
      <w:pPr>
        <w:spacing w:after="0" w:line="131" w:lineRule="exact"/>
        <w:rPr>
          <w:rFonts w:ascii="Arial" w:cs="Arial" w:eastAsia="Arial" w:hAnsi="Arial"/>
          <w:sz w:val="14"/>
          <w:szCs w:val="14"/>
          <w:color w:val="auto"/>
        </w:rPr>
      </w:pPr>
    </w:p>
    <w:p>
      <w:pPr>
        <w:ind w:right="200" w:firstLine="494"/>
        <w:spacing w:after="0" w:line="228"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any Bylaws adopted by the stockholders; provided, however, that no Bylaws hereafter adopted by the stockholders shall invalidate any prior act of the directors that would have been valid if such Bylaws had not been adopted.</w:t>
      </w:r>
    </w:p>
    <w:p>
      <w:pPr>
        <w:spacing w:after="0" w:line="142" w:lineRule="exact"/>
        <w:rPr>
          <w:rFonts w:ascii="Arial" w:cs="Arial" w:eastAsia="Arial" w:hAnsi="Arial"/>
          <w:sz w:val="16"/>
          <w:szCs w:val="16"/>
          <w:color w:val="auto"/>
        </w:rPr>
      </w:pPr>
    </w:p>
    <w:p>
      <w:pPr>
        <w:ind w:left="980" w:hanging="486"/>
        <w:spacing w:after="0"/>
        <w:tabs>
          <w:tab w:leader="none" w:pos="9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Unless and except to the extent that the Bylaws of the Corporation shall so require, the election of directors of the Corporation need not be by written ballot.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ACTION BY WRITTEN CONSENT</w:t>
      </w:r>
    </w:p>
    <w:p>
      <w:pPr>
        <w:spacing w:after="0" w:line="165" w:lineRule="exact"/>
        <w:rPr>
          <w:sz w:val="20"/>
          <w:szCs w:val="20"/>
          <w:color w:val="auto"/>
        </w:rPr>
      </w:pPr>
    </w:p>
    <w:p>
      <w:pPr>
        <w:ind w:firstLine="492"/>
        <w:spacing w:after="0" w:line="225" w:lineRule="auto"/>
        <w:rPr>
          <w:sz w:val="20"/>
          <w:szCs w:val="20"/>
          <w:color w:val="auto"/>
        </w:rPr>
      </w:pPr>
      <w:r>
        <w:rPr>
          <w:rFonts w:ascii="Arial" w:cs="Arial" w:eastAsia="Arial" w:hAnsi="Arial"/>
          <w:sz w:val="16"/>
          <w:szCs w:val="16"/>
          <w:color w:val="auto"/>
        </w:rPr>
        <w:t>Subject to the terms of any series of Preferred Stock, (i) for so long as Parent beneficially owns (directly or indirectly) at least a majority of the voting power of the then outstanding shares of stock of the Corporation entitled to vote generally in the election of directors (the “</w:t>
      </w:r>
      <w:r>
        <w:rPr>
          <w:rFonts w:ascii="Arial" w:cs="Arial" w:eastAsia="Arial" w:hAnsi="Arial"/>
          <w:sz w:val="16"/>
          <w:szCs w:val="16"/>
          <w:u w:val="single" w:color="auto"/>
          <w:color w:val="auto"/>
        </w:rPr>
        <w:t>Voting Stock</w:t>
      </w:r>
      <w:r>
        <w:rPr>
          <w:rFonts w:ascii="Arial" w:cs="Arial" w:eastAsia="Arial" w:hAnsi="Arial"/>
          <w:sz w:val="16"/>
          <w:szCs w:val="16"/>
          <w:color w:val="auto"/>
        </w:rPr>
        <w:t>”), any action that is required or permitted to be taken by the stockholders of Corporation may be effected by consent in lieu of a meeting and (ii) if Parent no longer beneficially owns (directly or indirectly) at least a majority of the Voting Stock,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MEETINGS OF STOCKHOLDERS &amp; BOOKS OF THE CORPORATION</w:t>
      </w:r>
    </w:p>
    <w:p>
      <w:pPr>
        <w:spacing w:after="0" w:line="165" w:lineRule="exact"/>
        <w:rPr>
          <w:sz w:val="20"/>
          <w:szCs w:val="20"/>
          <w:color w:val="auto"/>
        </w:rPr>
      </w:pPr>
    </w:p>
    <w:p>
      <w:pPr>
        <w:ind w:right="60" w:firstLine="492"/>
        <w:spacing w:after="0" w:line="233" w:lineRule="auto"/>
        <w:rPr>
          <w:sz w:val="20"/>
          <w:szCs w:val="20"/>
          <w:color w:val="auto"/>
        </w:rPr>
      </w:pPr>
      <w:r>
        <w:rPr>
          <w:rFonts w:ascii="Arial" w:cs="Arial" w:eastAsia="Arial" w:hAnsi="Arial"/>
          <w:sz w:val="16"/>
          <w:szCs w:val="16"/>
          <w:color w:val="auto"/>
        </w:rPr>
        <w:t>Meetings of stockholders may be held at such place, if any,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097" w:right="3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6"/>
          <w:szCs w:val="16"/>
          <w:color w:val="auto"/>
        </w:rPr>
        <w:t>ARTICLE IX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SPECIAL MEETINGS OF STOCKHOLDERS &amp; ADVANCE NOTICE</w:t>
      </w:r>
    </w:p>
    <w:p>
      <w:pPr>
        <w:spacing w:after="0" w:line="165" w:lineRule="exact"/>
        <w:rPr>
          <w:sz w:val="20"/>
          <w:szCs w:val="20"/>
          <w:color w:val="auto"/>
        </w:rPr>
      </w:pPr>
    </w:p>
    <w:p>
      <w:pPr>
        <w:ind w:right="40" w:firstLine="492"/>
        <w:spacing w:after="0"/>
        <w:rPr>
          <w:sz w:val="20"/>
          <w:szCs w:val="20"/>
          <w:color w:val="auto"/>
        </w:rPr>
      </w:pPr>
      <w:r>
        <w:rPr>
          <w:rFonts w:ascii="Arial" w:cs="Arial" w:eastAsia="Arial" w:hAnsi="Arial"/>
          <w:sz w:val="15"/>
          <w:szCs w:val="15"/>
          <w:color w:val="auto"/>
        </w:rPr>
        <w:t>Except as otherwise required by law, special meetings of the stockholders of the Corporation, for any purpose or purposes, may be called at any time only (i) by the Chairperson of the Board of Directors, (ii) by the Chief Executive Officer of the Corporation (or, in the absence of a Chief Executive Officer, the President), (iii) pursuant to a resolution duly adopted by a majority of the Board of Directors or (iv) so long as Parent beneficially owns (directly or indirectly) at least fifty percent (50%) or more of the Voting Stock, by the Secretary of the Corporation at the request of the holders of shares representing at least fifty percent (50%) of the Voting Stock. Other than as set forth in clause (iv) of the preceding sentence, any power of stockholders to call a special meeting of stockholders is hereby specifically denied.</w:t>
      </w:r>
    </w:p>
    <w:p>
      <w:pPr>
        <w:spacing w:after="0" w:line="143" w:lineRule="exact"/>
        <w:rPr>
          <w:sz w:val="20"/>
          <w:szCs w:val="20"/>
          <w:color w:val="auto"/>
        </w:rPr>
      </w:pPr>
    </w:p>
    <w:p>
      <w:pPr>
        <w:ind w:firstLine="492"/>
        <w:spacing w:after="0" w:line="228" w:lineRule="auto"/>
        <w:rPr>
          <w:sz w:val="20"/>
          <w:szCs w:val="20"/>
          <w:color w:val="auto"/>
        </w:rPr>
      </w:pPr>
      <w:r>
        <w:rPr>
          <w:rFonts w:ascii="Arial" w:cs="Arial" w:eastAsia="Arial" w:hAnsi="Arial"/>
          <w:sz w:val="16"/>
          <w:szCs w:val="16"/>
          <w:color w:val="auto"/>
        </w:rPr>
        <w:t>Advance notice of stockholder nominations for the election of directors of the Corporation and of other business to be brought by stockholders before any meeting of stockholders of the Corporation shall be given in the manner provided in the Bylaws. No business other than that stated in the notice of such meeting (or any amendment or supplement thereto), which notice, in the case of a special meeting called by a stockholder or stockholders, shall include all business requested by such stockholder or stockholders to be transacted at such meeting, shall be transacted at any special meeting.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 OF BYLAWS</w:t>
      </w:r>
    </w:p>
    <w:p>
      <w:pPr>
        <w:spacing w:after="0" w:line="165" w:lineRule="exact"/>
        <w:rPr>
          <w:sz w:val="20"/>
          <w:szCs w:val="20"/>
          <w:color w:val="auto"/>
        </w:rPr>
      </w:pPr>
    </w:p>
    <w:p>
      <w:pPr>
        <w:ind w:right="220" w:firstLine="492"/>
        <w:spacing w:after="0" w:line="228" w:lineRule="auto"/>
        <w:rPr>
          <w:sz w:val="20"/>
          <w:szCs w:val="20"/>
          <w:color w:val="auto"/>
        </w:rPr>
      </w:pPr>
      <w:r>
        <w:rPr>
          <w:rFonts w:ascii="Arial" w:cs="Arial" w:eastAsia="Arial" w:hAnsi="Arial"/>
          <w:sz w:val="16"/>
          <w:szCs w:val="16"/>
          <w:color w:val="auto"/>
        </w:rPr>
        <w:t>In furtherance and not in limitation of the powers conferred upon it by the laws of the State of Delaware, the Board of Directors shall have the power without the assent or vote of the stockholders to adopt, amend, alter or repeal the Bylaws. The affirmative vote of at least a majority of the Board of Directors shall be required to adopt, amend, alter or repeal the Bylaws. The Bylaws also may be adopted, amended, altered or repealed by the stockholders by the affirmative vote of the holders of at least a majority of the Voting Stock.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 OF CERTIFICATE OF INCORPORATION</w:t>
      </w:r>
    </w:p>
    <w:p>
      <w:pPr>
        <w:spacing w:after="0" w:line="165" w:lineRule="exact"/>
        <w:rPr>
          <w:sz w:val="20"/>
          <w:szCs w:val="20"/>
          <w:color w:val="auto"/>
        </w:rPr>
      </w:pPr>
    </w:p>
    <w:p>
      <w:pPr>
        <w:ind w:right="100" w:firstLine="492"/>
        <w:spacing w:after="0" w:line="244" w:lineRule="auto"/>
        <w:rPr>
          <w:sz w:val="20"/>
          <w:szCs w:val="20"/>
          <w:color w:val="auto"/>
        </w:rPr>
      </w:pPr>
      <w:r>
        <w:rPr>
          <w:rFonts w:ascii="Arial" w:cs="Arial" w:eastAsia="Arial" w:hAnsi="Arial"/>
          <w:sz w:val="15"/>
          <w:szCs w:val="15"/>
          <w:color w:val="auto"/>
        </w:rPr>
        <w:t>The Corporation reserves the right at any time and from time to time to amend, alter, change or repeal any provision contained in this Certificate of Incorporation, as from time to time in effect, including to add thereto any provision authorized by the law of the State of Delaware, in the manner now or hereafter prescribed in the DGCL, and all rights, preferences and privileges conferred upon stockholders, directors or officers of the Corporation or any other person whomsoever by and pursuant to this Certificate of Incorporation in its present form, or as hereafter amended, are granted subject to the right reserved in this Article XI.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XII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CORPORATE OPPORTUNITIES</w:t>
      </w:r>
    </w:p>
    <w:p>
      <w:pPr>
        <w:spacing w:after="0" w:line="165" w:lineRule="exact"/>
        <w:rPr>
          <w:sz w:val="20"/>
          <w:szCs w:val="20"/>
          <w:color w:val="auto"/>
        </w:rPr>
      </w:pPr>
    </w:p>
    <w:p>
      <w:pPr>
        <w:ind w:right="120" w:firstLine="494"/>
        <w:spacing w:after="0" w:line="233" w:lineRule="auto"/>
        <w:tabs>
          <w:tab w:leader="none" w:pos="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(including, without limitation, Section 122(17) of the DGCL (or any successor provision)), the Corporation, on behalf of itself and its subsidiaries, renounces pursuant to Section 122(17) of the DGCL any interest or expectancy of the Corporation and its subsidiaries in, or in being offered an opportunity to participate in, business opportunities that are from time to time presented to Parent or any of 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098" w:right="319" w:bottom="1440" w:gutter="0" w:footer="0" w:header="0"/>
        </w:sectPr>
      </w:pPr>
    </w:p>
    <w:bookmarkStart w:id="186" w:name="page187"/>
    <w:bookmarkEnd w:id="186"/>
    <w:p>
      <w:pPr>
        <w:spacing w:after="0" w:line="236" w:lineRule="auto"/>
        <w:rPr>
          <w:sz w:val="20"/>
          <w:szCs w:val="20"/>
          <w:color w:val="auto"/>
        </w:rPr>
      </w:pPr>
      <w:r>
        <w:rPr>
          <w:rFonts w:ascii="Arial" w:cs="Arial" w:eastAsia="Arial" w:hAnsi="Arial"/>
          <w:sz w:val="15"/>
          <w:szCs w:val="15"/>
          <w:color w:val="auto"/>
        </w:rPr>
        <w:t>officers, directors, employees, agents, shareholders and affiliates (other than the Corporation and its subsidiaries) (each, a “</w:t>
      </w:r>
      <w:r>
        <w:rPr>
          <w:rFonts w:ascii="Arial" w:cs="Arial" w:eastAsia="Arial" w:hAnsi="Arial"/>
          <w:sz w:val="15"/>
          <w:szCs w:val="15"/>
          <w:u w:val="single" w:color="auto"/>
          <w:color w:val="auto"/>
        </w:rPr>
        <w:t>Specified Party</w:t>
      </w:r>
      <w:r>
        <w:rPr>
          <w:rFonts w:ascii="Arial" w:cs="Arial" w:eastAsia="Arial" w:hAnsi="Arial"/>
          <w:sz w:val="15"/>
          <w:szCs w:val="15"/>
          <w:color w:val="auto"/>
        </w:rPr>
        <w:t>”), even if the opportunity is one that the Corporation or any of its subsidiaries might reasonably be deemed to have pursued or had the ability or desire to pursue if presented the opportunity to do so. Each such Specified Party shall have no duty to communicate or offer such business opportunity to the Corporation or any of its subsidiaries and, to the fullest extent permitted by applicable law, shall not be liable to the Corporation or any of its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any of its subsidiaries. Notwithstanding the foregoing, a Specified Party who is a director or officer of the Corporation and who is expressly offered a business opportunity solely in his or her capacity as a director or officer of the Corporation (a “</w:t>
      </w:r>
      <w:r>
        <w:rPr>
          <w:rFonts w:ascii="Arial" w:cs="Arial" w:eastAsia="Arial" w:hAnsi="Arial"/>
          <w:sz w:val="15"/>
          <w:szCs w:val="15"/>
          <w:u w:val="single" w:color="auto"/>
          <w:color w:val="auto"/>
        </w:rPr>
        <w:t>Directed Opportunity</w:t>
      </w:r>
      <w:r>
        <w:rPr>
          <w:rFonts w:ascii="Arial" w:cs="Arial" w:eastAsia="Arial" w:hAnsi="Arial"/>
          <w:sz w:val="15"/>
          <w:szCs w:val="15"/>
          <w:color w:val="auto"/>
        </w:rPr>
        <w:t>”) shall be obligated to communicate such Directed Opportunity to the Corporation.</w:t>
      </w:r>
    </w:p>
    <w:p>
      <w:pPr>
        <w:spacing w:after="0" w:line="141" w:lineRule="exact"/>
        <w:rPr>
          <w:sz w:val="20"/>
          <w:szCs w:val="20"/>
          <w:color w:val="auto"/>
        </w:rPr>
      </w:pPr>
    </w:p>
    <w:p>
      <w:pPr>
        <w:ind w:right="180" w:firstLine="494"/>
        <w:spacing w:after="0" w:line="278" w:lineRule="auto"/>
        <w:tabs>
          <w:tab w:leader="none" w:pos="981"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Specified Parties shall, to the fullest extent permitted by applicable law, have no duty to refrain from (i) engaging directly or indirectly in the same or similar business activities or lines of business as the Corporation or any of its subsidiaries or (ii) otherwise competing with the Corporation or any of its subsidiaries.</w:t>
      </w:r>
    </w:p>
    <w:p>
      <w:pPr>
        <w:spacing w:after="0" w:line="113" w:lineRule="exact"/>
        <w:rPr>
          <w:rFonts w:ascii="Arial" w:cs="Arial" w:eastAsia="Arial" w:hAnsi="Arial"/>
          <w:sz w:val="15"/>
          <w:szCs w:val="15"/>
          <w:color w:val="auto"/>
        </w:rPr>
      </w:pPr>
    </w:p>
    <w:p>
      <w:pPr>
        <w:ind w:firstLine="494"/>
        <w:spacing w:after="0" w:line="253" w:lineRule="auto"/>
        <w:tabs>
          <w:tab w:leader="none" w:pos="981"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addition to and notwithstanding the foregoing provisions of this Article XII,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31" w:lineRule="exact"/>
        <w:rPr>
          <w:rFonts w:ascii="Arial" w:cs="Arial" w:eastAsia="Arial" w:hAnsi="Arial"/>
          <w:sz w:val="15"/>
          <w:szCs w:val="15"/>
          <w:color w:val="auto"/>
        </w:rPr>
      </w:pPr>
    </w:p>
    <w:p>
      <w:pPr>
        <w:ind w:right="300" w:firstLine="494"/>
        <w:spacing w:after="0" w:line="228" w:lineRule="auto"/>
        <w:tabs>
          <w:tab w:leader="none" w:pos="9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 alteration, amendment or repeal of this Article XII (including the adoption of any provision of this Certificate of Incorporation inconsistent with this Article XII) shall eliminate or reduce the effect of this Article XII in respect of any matter occurring, or any cause of action, suit or claim that, but for this Article XII, would accrue or arise, prior to such alteration, amendment or repeal. This Article XII shall not limit any protections or defenses available to, or indemnification or advancement rights of, any director or officer of the Corporation under this Certificate of Incorporation, the Bylaws or applicable law.</w:t>
      </w:r>
    </w:p>
    <w:p>
      <w:pPr>
        <w:spacing w:after="0" w:line="142" w:lineRule="exact"/>
        <w:rPr>
          <w:rFonts w:ascii="Arial" w:cs="Arial" w:eastAsia="Arial" w:hAnsi="Arial"/>
          <w:sz w:val="16"/>
          <w:szCs w:val="16"/>
          <w:color w:val="auto"/>
        </w:rPr>
      </w:pPr>
    </w:p>
    <w:p>
      <w:pPr>
        <w:ind w:right="200" w:firstLine="494"/>
        <w:spacing w:after="0" w:line="245" w:lineRule="auto"/>
        <w:tabs>
          <w:tab w:leader="none" w:pos="982"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person or entity purchasing or otherwise acquiring or holding any interest in the shares of stock of the Corporation shall be deemed to have notice of and consented to the provisions of this Article XII.</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XIII</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EXCLUSIVE FORUM</w:t>
      </w:r>
    </w:p>
    <w:p>
      <w:pPr>
        <w:spacing w:after="0" w:line="165" w:lineRule="exact"/>
        <w:rPr>
          <w:sz w:val="20"/>
          <w:szCs w:val="20"/>
          <w:color w:val="auto"/>
        </w:rPr>
      </w:pPr>
    </w:p>
    <w:p>
      <w:pPr>
        <w:ind w:right="100" w:firstLine="492"/>
        <w:spacing w:after="0" w:line="232" w:lineRule="auto"/>
        <w:rPr>
          <w:sz w:val="20"/>
          <w:szCs w:val="20"/>
          <w:color w:val="auto"/>
        </w:rPr>
      </w:pPr>
      <w:r>
        <w:rPr>
          <w:rFonts w:ascii="Arial" w:cs="Arial" w:eastAsia="Arial" w:hAnsi="Arial"/>
          <w:sz w:val="15"/>
          <w:szCs w:val="15"/>
          <w:color w:val="auto"/>
        </w:rPr>
        <w:t>Unless the Corporation consents in writing to the selection of an alternative forum (an “</w:t>
      </w:r>
      <w:r>
        <w:rPr>
          <w:rFonts w:ascii="Arial" w:cs="Arial" w:eastAsia="Arial" w:hAnsi="Arial"/>
          <w:sz w:val="15"/>
          <w:szCs w:val="15"/>
          <w:u w:val="single" w:color="auto"/>
          <w:color w:val="auto"/>
        </w:rPr>
        <w:t>Alternative Forum Consent</w:t>
      </w:r>
      <w:r>
        <w:rPr>
          <w:rFonts w:ascii="Arial" w:cs="Arial" w:eastAsia="Arial" w:hAnsi="Arial"/>
          <w:sz w:val="15"/>
          <w:szCs w:val="15"/>
          <w:color w:val="auto"/>
        </w:rPr>
        <w:t>”),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or the Corporation’s Certificate of Incorporation or Bylaws (each, as in effect from time to time), or</w:t>
      </w:r>
    </w:p>
    <w:p>
      <w:pPr>
        <w:spacing w:after="0" w:line="1" w:lineRule="exact"/>
        <w:rPr>
          <w:sz w:val="20"/>
          <w:szCs w:val="20"/>
          <w:color w:val="auto"/>
        </w:rPr>
      </w:pPr>
    </w:p>
    <w:p>
      <w:pPr>
        <w:ind w:right="400" w:firstLine="2"/>
        <w:spacing w:after="0" w:line="233"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or any current or former director, officer, stockholder, employee or agent of the Corporation governed by the internal affairs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00" w:top="1098" w:right="339" w:bottom="1440" w:gutter="0" w:footer="0" w:header="0"/>
        </w:sectPr>
      </w:pPr>
    </w:p>
    <w:bookmarkStart w:id="187" w:name="page188"/>
    <w:bookmarkEnd w:id="187"/>
    <w:p>
      <w:pPr>
        <w:ind w:right="80"/>
        <w:spacing w:after="0" w:line="235" w:lineRule="auto"/>
        <w:rPr>
          <w:sz w:val="20"/>
          <w:szCs w:val="20"/>
          <w:color w:val="auto"/>
        </w:rPr>
      </w:pPr>
      <w:r>
        <w:rPr>
          <w:rFonts w:ascii="Arial" w:cs="Arial" w:eastAsia="Arial" w:hAnsi="Arial"/>
          <w:sz w:val="15"/>
          <w:szCs w:val="15"/>
          <w:color w:val="auto"/>
        </w:rPr>
        <w:t>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This exclusive forum provision will not apply to actions arising under the Exchange Act of 1934 (the “Exchange Act”). Any person or entity purchasing, otherwise acquiring or holding any interest in shares of stock of the Corporation shall be deemed to have notice of and consented to the provisions of this Article XIII. The existence of any prior Alternative Forum Consent shall not act as a waiver of the Corporation’s ongoing consent right as set forth above in this Article XIII with respect to any current or future actions or claims.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XIV</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SEVERABILITY</w:t>
      </w:r>
    </w:p>
    <w:p>
      <w:pPr>
        <w:spacing w:after="0" w:line="165" w:lineRule="exact"/>
        <w:rPr>
          <w:sz w:val="20"/>
          <w:szCs w:val="20"/>
          <w:color w:val="auto"/>
        </w:rPr>
      </w:pPr>
    </w:p>
    <w:p>
      <w:pPr>
        <w:ind w:right="40" w:firstLine="492"/>
        <w:spacing w:after="0" w:line="237" w:lineRule="auto"/>
        <w:rPr>
          <w:sz w:val="20"/>
          <w:szCs w:val="20"/>
          <w:color w:val="auto"/>
        </w:rPr>
      </w:pPr>
      <w:r>
        <w:rPr>
          <w:rFonts w:ascii="Arial" w:cs="Arial" w:eastAsia="Arial" w:hAnsi="Arial"/>
          <w:sz w:val="15"/>
          <w:szCs w:val="15"/>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authorized or permitted by law.</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XV</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SECTION 203 OF THE DGCL</w:t>
      </w:r>
    </w:p>
    <w:p>
      <w:pPr>
        <w:spacing w:after="0" w:line="329" w:lineRule="exact"/>
        <w:rPr>
          <w:sz w:val="20"/>
          <w:szCs w:val="20"/>
          <w:color w:val="auto"/>
        </w:rPr>
      </w:pPr>
    </w:p>
    <w:p>
      <w:pPr>
        <w:ind w:left="980" w:hanging="486"/>
        <w:spacing w:after="0"/>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Opt Out</w:t>
      </w:r>
      <w:r>
        <w:rPr>
          <w:rFonts w:ascii="Arial" w:cs="Arial" w:eastAsia="Arial" w:hAnsi="Arial"/>
          <w:sz w:val="16"/>
          <w:szCs w:val="16"/>
          <w:color w:val="auto"/>
        </w:rPr>
        <w:t>. The Corporation hereby expressly elects that it shall not be governed by, or otherwise be subject to, Section 203 of the DGCL.</w:t>
      </w:r>
    </w:p>
    <w:p>
      <w:pPr>
        <w:spacing w:after="0" w:line="164" w:lineRule="exact"/>
        <w:rPr>
          <w:rFonts w:ascii="Arial" w:cs="Arial" w:eastAsia="Arial" w:hAnsi="Arial"/>
          <w:sz w:val="16"/>
          <w:szCs w:val="16"/>
          <w:color w:val="auto"/>
        </w:rPr>
      </w:pPr>
    </w:p>
    <w:p>
      <w:pPr>
        <w:ind w:firstLine="494"/>
        <w:spacing w:after="0" w:line="228" w:lineRule="auto"/>
        <w:tabs>
          <w:tab w:leader="none" w:pos="98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Applicable Restrictions to Business Combinations</w:t>
      </w:r>
      <w:r>
        <w:rPr>
          <w:rFonts w:ascii="Arial" w:cs="Arial" w:eastAsia="Arial" w:hAnsi="Arial"/>
          <w:sz w:val="16"/>
          <w:szCs w:val="16"/>
          <w:color w:val="auto"/>
        </w:rPr>
        <w:t>. Notwithstanding the foregoing and notwithstanding any other provisions of the DGCL, the Corporation shall not engage in any business combination (as defined below), at any point in time at which any class of Common Stock is registered under Section 12(b) or 12(g) of the Exchange Act of 1934, as amended, with any interested stockholder (as defined below) for a period of three years following the time that such stockholder became an interested stockholder, unless:</w:t>
      </w:r>
    </w:p>
    <w:p>
      <w:pPr>
        <w:spacing w:after="0" w:line="142" w:lineRule="exact"/>
        <w:rPr>
          <w:rFonts w:ascii="Arial" w:cs="Arial" w:eastAsia="Arial" w:hAnsi="Arial"/>
          <w:sz w:val="16"/>
          <w:szCs w:val="16"/>
          <w:color w:val="auto"/>
        </w:rPr>
      </w:pPr>
    </w:p>
    <w:p>
      <w:pPr>
        <w:ind w:right="400" w:firstLine="1479"/>
        <w:spacing w:after="0" w:line="245" w:lineRule="auto"/>
        <w:tabs>
          <w:tab w:leader="none" w:pos="1964" w:val="left"/>
        </w:tabs>
        <w:numPr>
          <w:ilvl w:val="1"/>
          <w:numId w:val="96"/>
        </w:numPr>
        <w:rPr>
          <w:rFonts w:ascii="Arial" w:cs="Arial" w:eastAsia="Arial" w:hAnsi="Arial"/>
          <w:sz w:val="16"/>
          <w:szCs w:val="16"/>
          <w:color w:val="auto"/>
        </w:rPr>
      </w:pPr>
      <w:r>
        <w:rPr>
          <w:rFonts w:ascii="Arial" w:cs="Arial" w:eastAsia="Arial" w:hAnsi="Arial"/>
          <w:sz w:val="16"/>
          <w:szCs w:val="16"/>
          <w:color w:val="auto"/>
        </w:rPr>
        <w:t>prior to such time, the Board of Directors approved either the business combination or the transaction which resulted in the stockholder becoming an interested stockholder, or</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00" w:top="1097" w:right="339" w:bottom="1440" w:gutter="0" w:footer="0" w:header="0"/>
        </w:sectPr>
      </w:pPr>
    </w:p>
    <w:bookmarkStart w:id="188" w:name="page189"/>
    <w:bookmarkEnd w:id="188"/>
    <w:p>
      <w:pPr>
        <w:ind w:firstLine="1479"/>
        <w:spacing w:after="0" w:line="225" w:lineRule="auto"/>
        <w:tabs>
          <w:tab w:leader="none" w:pos="1968" w:val="left"/>
        </w:tabs>
        <w:numPr>
          <w:ilvl w:val="1"/>
          <w:numId w:val="9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42" w:lineRule="exact"/>
        <w:rPr>
          <w:rFonts w:ascii="Arial" w:cs="Arial" w:eastAsia="Arial" w:hAnsi="Arial"/>
          <w:sz w:val="16"/>
          <w:szCs w:val="16"/>
          <w:color w:val="auto"/>
        </w:rPr>
      </w:pPr>
    </w:p>
    <w:p>
      <w:pPr>
        <w:ind w:right="60" w:firstLine="1479"/>
        <w:spacing w:after="0" w:line="233" w:lineRule="auto"/>
        <w:tabs>
          <w:tab w:leader="none" w:pos="1963" w:val="left"/>
        </w:tabs>
        <w:numPr>
          <w:ilvl w:val="1"/>
          <w:numId w:val="97"/>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141" w:lineRule="exact"/>
        <w:rPr>
          <w:rFonts w:ascii="Arial" w:cs="Arial" w:eastAsia="Arial" w:hAnsi="Arial"/>
          <w:sz w:val="16"/>
          <w:szCs w:val="16"/>
          <w:color w:val="auto"/>
        </w:rPr>
      </w:pPr>
    </w:p>
    <w:p>
      <w:pPr>
        <w:ind w:firstLine="1479"/>
        <w:spacing w:after="0" w:line="233" w:lineRule="auto"/>
        <w:tabs>
          <w:tab w:leader="none" w:pos="1953" w:val="left"/>
        </w:tabs>
        <w:numPr>
          <w:ilvl w:val="1"/>
          <w:numId w:val="97"/>
        </w:numPr>
        <w:rPr>
          <w:rFonts w:ascii="Arial" w:cs="Arial" w:eastAsia="Arial" w:hAnsi="Arial"/>
          <w:sz w:val="15"/>
          <w:szCs w:val="15"/>
          <w:color w:val="auto"/>
        </w:rPr>
      </w:pPr>
      <w:r>
        <w:rPr>
          <w:rFonts w:ascii="Arial" w:cs="Arial" w:eastAsia="Arial" w:hAnsi="Arial"/>
          <w:sz w:val="15"/>
          <w:szCs w:val="15"/>
          <w:color w:val="auto"/>
        </w:rPr>
        <w:t>The restrictions contained in this Article XV shall not apply if 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paragraph, (ii) is with or by a person who either was not an interested stockholder during the previous three years or who became an interested stockholder with the approval of the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 owned subsidiary or to the Corporation ) having an aggregate market value equal to fifty percent or more of either that aggregate market value of all the assets of the Corporation determined on a consolidated basis or the aggregate market value of all the outstanding stock of the Corporation or (z) a proposed tender or exchange offer for 50% or more of the outstanding voting stock of the Corporation. The Corporation shall give not less than 20 days’ notice to all interested stockholders prior to the consummation of any of the transactions described in clause (x) or (y) of the second sentence of this paragraph.</w:t>
      </w:r>
    </w:p>
    <w:p>
      <w:pPr>
        <w:spacing w:after="0" w:line="141"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auto"/>
        </w:rPr>
        <w:t>C.</w:t>
      </w: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Article XV, references to:</w:t>
      </w:r>
    </w:p>
    <w:p>
      <w:pPr>
        <w:spacing w:after="0" w:line="164" w:lineRule="exact"/>
        <w:rPr>
          <w:rFonts w:ascii="Arial" w:cs="Arial" w:eastAsia="Arial" w:hAnsi="Arial"/>
          <w:sz w:val="15"/>
          <w:szCs w:val="15"/>
          <w:color w:val="auto"/>
        </w:rPr>
      </w:pPr>
    </w:p>
    <w:p>
      <w:pPr>
        <w:ind w:left="1960" w:hanging="481"/>
        <w:spacing w:after="0"/>
        <w:tabs>
          <w:tab w:leader="none" w:pos="19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 person that directly, or indirectly through one or more intermediaries, controls, or is controlled by, or is under common</w:t>
      </w:r>
    </w:p>
    <w:p>
      <w:pPr>
        <w:spacing w:after="0" w:line="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control with, another person.</w:t>
      </w:r>
    </w:p>
    <w:p>
      <w:pPr>
        <w:spacing w:after="0" w:line="150" w:lineRule="exact"/>
        <w:rPr>
          <w:rFonts w:ascii="Arial" w:cs="Arial" w:eastAsia="Arial" w:hAnsi="Arial"/>
          <w:sz w:val="15"/>
          <w:szCs w:val="15"/>
          <w:color w:val="auto"/>
        </w:rPr>
      </w:pPr>
    </w:p>
    <w:p>
      <w:pPr>
        <w:jc w:val="both"/>
        <w:ind w:firstLine="1479"/>
        <w:spacing w:after="0" w:line="228" w:lineRule="auto"/>
        <w:tabs>
          <w:tab w:leader="none" w:pos="1968"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42" w:lineRule="exact"/>
        <w:rPr>
          <w:rFonts w:ascii="Arial" w:cs="Arial" w:eastAsia="Arial" w:hAnsi="Arial"/>
          <w:sz w:val="16"/>
          <w:szCs w:val="16"/>
          <w:color w:val="auto"/>
        </w:rPr>
      </w:pPr>
    </w:p>
    <w:p>
      <w:pPr>
        <w:ind w:left="1960" w:hanging="481"/>
        <w:spacing w:after="0"/>
        <w:tabs>
          <w:tab w:leader="none" w:pos="1960"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097" w:right="319" w:bottom="1440" w:gutter="0" w:footer="0" w:header="0"/>
        </w:sectPr>
      </w:pPr>
    </w:p>
    <w:bookmarkStart w:id="189" w:name="page190"/>
    <w:bookmarkEnd w:id="189"/>
    <w:p>
      <w:pPr>
        <w:ind w:right="220" w:firstLine="1972"/>
        <w:spacing w:after="0" w:line="233" w:lineRule="auto"/>
        <w:tabs>
          <w:tab w:leader="none" w:pos="2458"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paragraph B of this Article XV is not applicable to the surviving entity;</w:t>
      </w:r>
    </w:p>
    <w:p>
      <w:pPr>
        <w:spacing w:after="0" w:line="141" w:lineRule="exact"/>
        <w:rPr>
          <w:rFonts w:ascii="Arial" w:cs="Arial" w:eastAsia="Arial" w:hAnsi="Arial"/>
          <w:sz w:val="16"/>
          <w:szCs w:val="16"/>
          <w:color w:val="auto"/>
        </w:rPr>
      </w:pPr>
    </w:p>
    <w:p>
      <w:pPr>
        <w:ind w:right="220" w:firstLine="1972"/>
        <w:spacing w:after="0" w:line="244" w:lineRule="auto"/>
        <w:tabs>
          <w:tab w:leader="none" w:pos="2458" w:val="left"/>
        </w:tabs>
        <w:numPr>
          <w:ilvl w:val="1"/>
          <w:numId w:val="99"/>
        </w:numPr>
        <w:rPr>
          <w:rFonts w:ascii="Arial" w:cs="Arial" w:eastAsia="Arial" w:hAnsi="Arial"/>
          <w:sz w:val="15"/>
          <w:szCs w:val="15"/>
          <w:color w:val="auto"/>
        </w:rPr>
      </w:pPr>
      <w:r>
        <w:rPr>
          <w:rFonts w:ascii="Arial" w:cs="Arial" w:eastAsia="Arial" w:hAnsi="Arial"/>
          <w:sz w:val="15"/>
          <w:szCs w:val="15"/>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39" w:lineRule="exact"/>
        <w:rPr>
          <w:rFonts w:ascii="Arial" w:cs="Arial" w:eastAsia="Arial" w:hAnsi="Arial"/>
          <w:sz w:val="15"/>
          <w:szCs w:val="15"/>
          <w:color w:val="auto"/>
        </w:rPr>
      </w:pPr>
    </w:p>
    <w:p>
      <w:pPr>
        <w:ind w:firstLine="1972"/>
        <w:spacing w:after="0" w:line="235" w:lineRule="auto"/>
        <w:tabs>
          <w:tab w:leader="none" w:pos="2458" w:val="left"/>
        </w:tabs>
        <w:numPr>
          <w:ilvl w:val="1"/>
          <w:numId w:val="99"/>
        </w:numPr>
        <w:rPr>
          <w:rFonts w:ascii="Arial" w:cs="Arial" w:eastAsia="Arial" w:hAnsi="Arial"/>
          <w:sz w:val="15"/>
          <w:szCs w:val="15"/>
          <w:color w:val="auto"/>
        </w:rPr>
      </w:pPr>
      <w:r>
        <w:rPr>
          <w:rFonts w:ascii="Arial" w:cs="Arial" w:eastAsia="Arial" w:hAnsi="Arial"/>
          <w:sz w:val="15"/>
          <w:szCs w:val="15"/>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case under items (c) through (e)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41" w:lineRule="exact"/>
        <w:rPr>
          <w:rFonts w:ascii="Arial" w:cs="Arial" w:eastAsia="Arial" w:hAnsi="Arial"/>
          <w:sz w:val="15"/>
          <w:szCs w:val="15"/>
          <w:color w:val="auto"/>
        </w:rPr>
      </w:pPr>
    </w:p>
    <w:p>
      <w:pPr>
        <w:ind w:right="40" w:firstLine="1972"/>
        <w:spacing w:after="0" w:line="228" w:lineRule="auto"/>
        <w:tabs>
          <w:tab w:leader="none" w:pos="2458"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42" w:lineRule="exact"/>
        <w:rPr>
          <w:rFonts w:ascii="Arial" w:cs="Arial" w:eastAsia="Arial" w:hAnsi="Arial"/>
          <w:sz w:val="16"/>
          <w:szCs w:val="16"/>
          <w:color w:val="auto"/>
        </w:rPr>
      </w:pPr>
    </w:p>
    <w:p>
      <w:pPr>
        <w:ind w:right="160" w:firstLine="1972"/>
        <w:spacing w:after="0" w:line="220" w:lineRule="auto"/>
        <w:tabs>
          <w:tab w:leader="none" w:pos="2458"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 through (4) above) provided by or through the Corporation or any direct or indirect majority-owned subsidiary.</w:t>
      </w:r>
    </w:p>
    <w:p>
      <w:pPr>
        <w:ind w:right="60" w:firstLine="1479"/>
        <w:spacing w:after="0" w:line="238" w:lineRule="auto"/>
        <w:tabs>
          <w:tab w:leader="none" w:pos="1953"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including the terms “</w:t>
      </w:r>
      <w:r>
        <w:rPr>
          <w:rFonts w:ascii="Arial" w:cs="Arial" w:eastAsia="Arial" w:hAnsi="Arial"/>
          <w:sz w:val="15"/>
          <w:szCs w:val="15"/>
          <w:u w:val="single" w:color="auto"/>
          <w:color w:val="auto"/>
        </w:rPr>
        <w:t>controlling</w:t>
      </w:r>
      <w:r>
        <w:rPr>
          <w:rFonts w:ascii="Arial" w:cs="Arial" w:eastAsia="Arial" w:hAnsi="Arial"/>
          <w:sz w:val="15"/>
          <w:szCs w:val="15"/>
          <w:color w:val="auto"/>
        </w:rPr>
        <w:t>,” “</w:t>
      </w:r>
      <w:r>
        <w:rPr>
          <w:rFonts w:ascii="Arial" w:cs="Arial" w:eastAsia="Arial" w:hAnsi="Arial"/>
          <w:sz w:val="15"/>
          <w:szCs w:val="15"/>
          <w:u w:val="single" w:color="auto"/>
          <w:color w:val="auto"/>
        </w:rPr>
        <w:t>controlled by</w:t>
      </w:r>
      <w:r>
        <w:rPr>
          <w:rFonts w:ascii="Arial" w:cs="Arial" w:eastAsia="Arial" w:hAnsi="Arial"/>
          <w:sz w:val="15"/>
          <w:szCs w:val="15"/>
          <w:color w:val="auto"/>
        </w:rPr>
        <w:t>” and “</w:t>
      </w:r>
      <w:r>
        <w:rPr>
          <w:rFonts w:ascii="Arial" w:cs="Arial" w:eastAsia="Arial" w:hAnsi="Arial"/>
          <w:sz w:val="15"/>
          <w:szCs w:val="15"/>
          <w:u w:val="single" w:color="auto"/>
          <w:color w:val="auto"/>
        </w:rPr>
        <w:t>under common control with</w:t>
      </w:r>
      <w:r>
        <w:rPr>
          <w:rFonts w:ascii="Arial" w:cs="Arial" w:eastAsia="Arial" w:hAnsi="Arial"/>
          <w:sz w:val="15"/>
          <w:szCs w:val="15"/>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82" w:right="319" w:bottom="1440" w:gutter="0" w:footer="0" w:header="0"/>
        </w:sectPr>
      </w:pPr>
    </w:p>
    <w:bookmarkStart w:id="190" w:name="page191"/>
    <w:bookmarkEnd w:id="190"/>
    <w:p>
      <w:pPr>
        <w:ind w:right="220"/>
        <w:spacing w:after="0" w:line="245" w:lineRule="auto"/>
        <w:rPr>
          <w:sz w:val="20"/>
          <w:szCs w:val="20"/>
          <w:color w:val="auto"/>
        </w:rPr>
      </w:pPr>
      <w:r>
        <w:rPr>
          <w:rFonts w:ascii="Arial" w:cs="Arial" w:eastAsia="Arial" w:hAnsi="Arial"/>
          <w:sz w:val="16"/>
          <w:szCs w:val="16"/>
          <w:color w:val="auto"/>
        </w:rPr>
        <w:t>control shall not apply where such person holds voting stock, in good faith and not for the purpose of circumventing this Article XV, as an agent, bank, broker, nominee, custodian or trustee for one or more owners who do not individually or as a group have control of such entity.</w:t>
      </w:r>
    </w:p>
    <w:p>
      <w:pPr>
        <w:spacing w:after="0" w:line="137" w:lineRule="exact"/>
        <w:rPr>
          <w:sz w:val="20"/>
          <w:szCs w:val="20"/>
          <w:color w:val="auto"/>
        </w:rPr>
      </w:pPr>
    </w:p>
    <w:p>
      <w:pPr>
        <w:ind w:right="80" w:firstLine="1479"/>
        <w:spacing w:after="0" w:line="233" w:lineRule="auto"/>
        <w:tabs>
          <w:tab w:leader="none" w:pos="1959"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interested stockholder</w:t>
      </w:r>
      <w:r>
        <w:rPr>
          <w:rFonts w:ascii="Arial" w:cs="Arial" w:eastAsia="Arial" w:hAnsi="Arial"/>
          <w:sz w:val="15"/>
          <w:szCs w:val="15"/>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term “interested stockholder” shall not include (a) Parent Group, (b) a stockholder that becomes an interested stockholder inadvertently and (x) as soon as practicable divests itself of ownership of sufficient shares so that such stockholder ceases to be an interested stockholder and (y) would not, at any time within the three-year period immediately prior to a business combination between the Corporation and such stockholder, have been an interested stockholder but for the inadvertent acquisition of ownership or (c) any person whose ownership of shares in excess of the 15% limitation set forth herein is the result of any action taken solely by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person specified in this clause (c)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41" w:lineRule="exact"/>
        <w:rPr>
          <w:rFonts w:ascii="Arial" w:cs="Arial" w:eastAsia="Arial" w:hAnsi="Arial"/>
          <w:sz w:val="15"/>
          <w:szCs w:val="15"/>
          <w:color w:val="auto"/>
        </w:rPr>
      </w:pPr>
    </w:p>
    <w:p>
      <w:pPr>
        <w:ind w:right="120" w:firstLine="1479"/>
        <w:spacing w:after="0" w:line="245" w:lineRule="auto"/>
        <w:tabs>
          <w:tab w:leader="none" w:pos="196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owner</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own</w:t>
      </w:r>
      <w:r>
        <w:rPr>
          <w:rFonts w:ascii="Arial" w:cs="Arial" w:eastAsia="Arial" w:hAnsi="Arial"/>
          <w:sz w:val="16"/>
          <w:szCs w:val="16"/>
          <w:color w:val="auto"/>
        </w:rPr>
        <w:t>” and “</w:t>
      </w:r>
      <w:r>
        <w:rPr>
          <w:rFonts w:ascii="Arial" w:cs="Arial" w:eastAsia="Arial" w:hAnsi="Arial"/>
          <w:sz w:val="16"/>
          <w:szCs w:val="16"/>
          <w:u w:val="single" w:color="auto"/>
          <w:color w:val="auto"/>
        </w:rPr>
        <w:t>owned</w:t>
      </w:r>
      <w:r>
        <w:rPr>
          <w:rFonts w:ascii="Arial" w:cs="Arial" w:eastAsia="Arial" w:hAnsi="Arial"/>
          <w:sz w:val="16"/>
          <w:szCs w:val="16"/>
          <w:color w:val="auto"/>
        </w:rPr>
        <w:t>,” when used with respect to any stock, means a person that individually or with or through any of its affiliates or associates:</w:t>
      </w:r>
    </w:p>
    <w:p>
      <w:pPr>
        <w:spacing w:after="0" w:line="137" w:lineRule="exact"/>
        <w:rPr>
          <w:rFonts w:ascii="Arial" w:cs="Arial" w:eastAsia="Arial" w:hAnsi="Arial"/>
          <w:sz w:val="16"/>
          <w:szCs w:val="16"/>
          <w:color w:val="auto"/>
        </w:rPr>
      </w:pPr>
    </w:p>
    <w:p>
      <w:pPr>
        <w:ind w:left="2460" w:hanging="488"/>
        <w:spacing w:after="0"/>
        <w:tabs>
          <w:tab w:leader="none" w:pos="246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beneficially owns such stock, directly or indirectly; or</w:t>
      </w:r>
    </w:p>
    <w:p>
      <w:pPr>
        <w:spacing w:after="0" w:line="164" w:lineRule="exact"/>
        <w:rPr>
          <w:rFonts w:ascii="Arial" w:cs="Arial" w:eastAsia="Arial" w:hAnsi="Arial"/>
          <w:sz w:val="16"/>
          <w:szCs w:val="16"/>
          <w:color w:val="auto"/>
        </w:rPr>
      </w:pPr>
    </w:p>
    <w:p>
      <w:pPr>
        <w:ind w:right="60" w:firstLine="1972"/>
        <w:spacing w:after="0" w:line="238" w:lineRule="auto"/>
        <w:tabs>
          <w:tab w:leader="none" w:pos="2458" w:val="left"/>
        </w:tabs>
        <w:numPr>
          <w:ilvl w:val="2"/>
          <w:numId w:val="101"/>
        </w:numPr>
        <w:rPr>
          <w:rFonts w:ascii="Arial" w:cs="Arial" w:eastAsia="Arial" w:hAnsi="Arial"/>
          <w:sz w:val="15"/>
          <w:szCs w:val="15"/>
          <w:color w:val="auto"/>
        </w:rPr>
      </w:pPr>
      <w:r>
        <w:rPr>
          <w:rFonts w:ascii="Arial" w:cs="Arial" w:eastAsia="Arial" w:hAnsi="Arial"/>
          <w:sz w:val="15"/>
          <w:szCs w:val="15"/>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143" w:lineRule="exact"/>
        <w:rPr>
          <w:rFonts w:ascii="Arial" w:cs="Arial" w:eastAsia="Arial" w:hAnsi="Arial"/>
          <w:sz w:val="15"/>
          <w:szCs w:val="15"/>
          <w:color w:val="auto"/>
        </w:rPr>
      </w:pPr>
    </w:p>
    <w:p>
      <w:pPr>
        <w:ind w:right="40" w:firstLine="1910"/>
        <w:spacing w:after="0" w:line="220" w:lineRule="auto"/>
        <w:tabs>
          <w:tab w:leader="none" w:pos="245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has any agreement, arrangement or understanding for the purpose of acquiring, holding, voting (except voting pursuant to a revocable proxy or consent as described in clause (b) of subsection (2) above), or disposing of such stock with any other person that beneficially owns, or whose affiliates or associates beneficially own, directly or indirectly, such stock.</w:t>
      </w:r>
    </w:p>
    <w:p>
      <w:pPr>
        <w:ind w:firstLine="1479"/>
        <w:spacing w:after="0" w:line="233" w:lineRule="auto"/>
        <w:tabs>
          <w:tab w:leader="none" w:pos="19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Group</w:t>
      </w:r>
      <w:r>
        <w:rPr>
          <w:rFonts w:ascii="Arial" w:cs="Arial" w:eastAsia="Arial" w:hAnsi="Arial"/>
          <w:sz w:val="16"/>
          <w:szCs w:val="16"/>
          <w:color w:val="auto"/>
        </w:rPr>
        <w:t>” means Parent and any current or future affiliates of Parent (so long as such affiliate remains an affiliate), any of their direct or indirect transferees of at least 15% of the Corporation’s outstanding Common Stock and any “group” of which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098" w:right="319" w:bottom="1440" w:gutter="0" w:footer="0" w:header="0"/>
        </w:sectPr>
      </w:pPr>
    </w:p>
    <w:bookmarkStart w:id="191" w:name="page192"/>
    <w:bookmarkEnd w:id="191"/>
    <w:p>
      <w:pPr>
        <w:ind w:right="660"/>
        <w:spacing w:after="0" w:line="223" w:lineRule="auto"/>
        <w:rPr>
          <w:sz w:val="20"/>
          <w:szCs w:val="20"/>
          <w:color w:val="auto"/>
        </w:rPr>
      </w:pPr>
      <w:r>
        <w:rPr>
          <w:rFonts w:ascii="Arial" w:cs="Arial" w:eastAsia="Arial" w:hAnsi="Arial"/>
          <w:sz w:val="16"/>
          <w:szCs w:val="16"/>
          <w:color w:val="auto"/>
        </w:rPr>
        <w:t xml:space="preserve">such person is part under Rule 13d-5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“Parent Group” shall not include the Corporation or any of the Corporation’s direct or indirect subsidiaries.</w:t>
      </w:r>
    </w:p>
    <w:p>
      <w:pPr>
        <w:ind w:left="1960" w:hanging="481"/>
        <w:spacing w:after="0"/>
        <w:tabs>
          <w:tab w:leader="none" w:pos="1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partnership, unincorporated association or other entity.</w:t>
      </w:r>
    </w:p>
    <w:p>
      <w:pPr>
        <w:spacing w:after="0" w:line="150" w:lineRule="exact"/>
        <w:rPr>
          <w:rFonts w:ascii="Arial" w:cs="Arial" w:eastAsia="Arial" w:hAnsi="Arial"/>
          <w:sz w:val="16"/>
          <w:szCs w:val="16"/>
          <w:color w:val="auto"/>
        </w:rPr>
      </w:pPr>
    </w:p>
    <w:p>
      <w:pPr>
        <w:ind w:left="1960" w:hanging="481"/>
        <w:spacing w:after="0"/>
        <w:tabs>
          <w:tab w:leader="none" w:pos="1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w:t>
      </w:r>
      <w:r>
        <w:rPr>
          <w:rFonts w:ascii="Arial" w:cs="Arial" w:eastAsia="Arial" w:hAnsi="Arial"/>
          <w:sz w:val="16"/>
          <w:szCs w:val="16"/>
          <w:color w:val="auto"/>
        </w:rPr>
        <w:t>” means, with respect to any corporation, capital stock and, with respect to any other entity, any equity interest.</w:t>
      </w:r>
    </w:p>
    <w:p>
      <w:pPr>
        <w:spacing w:after="0" w:line="164" w:lineRule="exact"/>
        <w:rPr>
          <w:rFonts w:ascii="Arial" w:cs="Arial" w:eastAsia="Arial" w:hAnsi="Arial"/>
          <w:sz w:val="16"/>
          <w:szCs w:val="16"/>
          <w:color w:val="auto"/>
        </w:rPr>
      </w:pPr>
    </w:p>
    <w:p>
      <w:pPr>
        <w:jc w:val="both"/>
        <w:ind w:firstLine="1479"/>
        <w:spacing w:after="0" w:line="233" w:lineRule="auto"/>
        <w:tabs>
          <w:tab w:leader="none" w:pos="197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XV to a percentage or proportion of voting stock shall refer to such percentage or other proportion of the votes of such voting stock.</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00" w:top="1097" w:right="519" w:bottom="1440" w:gutter="0" w:footer="0" w:header="0"/>
        </w:sectPr>
      </w:pPr>
    </w:p>
    <w:bookmarkStart w:id="192" w:name="page193"/>
    <w:bookmarkEnd w:id="192"/>
    <w:p>
      <w:pPr>
        <w:ind w:firstLine="492"/>
        <w:spacing w:after="0" w:line="245" w:lineRule="auto"/>
        <w:rPr>
          <w:sz w:val="20"/>
          <w:szCs w:val="20"/>
          <w:color w:val="auto"/>
        </w:rPr>
      </w:pPr>
      <w:r>
        <w:rPr>
          <w:rFonts w:ascii="Arial" w:cs="Arial" w:eastAsia="Arial" w:hAnsi="Arial"/>
          <w:sz w:val="16"/>
          <w:szCs w:val="16"/>
          <w:color w:val="auto"/>
        </w:rPr>
        <w:t>IN WITNESS WHEREOF, the Corporation has caused this Certificate of Incorporation to be executed on its behalf by its duly authorized officer this 15th day of September, 2021.</w:t>
      </w:r>
    </w:p>
    <w:p>
      <w:pPr>
        <w:spacing w:after="0" w:line="13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ENACT HOLDINGS, INC.</w:t>
      </w:r>
    </w:p>
    <w:p>
      <w:pPr>
        <w:ind w:left="2960"/>
        <w:spacing w:after="0" w:line="214" w:lineRule="auto"/>
        <w:tabs>
          <w:tab w:leader="none" w:pos="3420" w:val="left"/>
        </w:tabs>
        <w:rPr>
          <w:sz w:val="20"/>
          <w:szCs w:val="20"/>
          <w:color w:val="auto"/>
        </w:rPr>
      </w:pPr>
      <w:r>
        <w:rPr>
          <w:rFonts w:ascii="Arial" w:cs="Arial" w:eastAsia="Arial" w:hAnsi="Arial"/>
          <w:sz w:val="16"/>
          <w:szCs w:val="16"/>
          <w:color w:val="auto"/>
        </w:rPr>
        <w:t>By:</w:t>
        <w:tab/>
        <w:t>/s/ 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-4445</wp:posOffset>
            </wp:positionV>
            <wp:extent cx="12884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1288415" cy="6350"/>
                    </a:xfrm>
                    <a:prstGeom prst="rect">
                      <a:avLst/>
                    </a:prstGeom>
                    <a:noFill/>
                  </pic:spPr>
                </pic:pic>
              </a:graphicData>
            </a:graphic>
          </wp:anchor>
        </w:drawing>
      </w:r>
    </w:p>
    <w:p>
      <w:pPr>
        <w:ind w:left="3120"/>
        <w:spacing w:after="0"/>
        <w:tabs>
          <w:tab w:leader="none" w:pos="37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Rohit Gupta</w:t>
      </w:r>
    </w:p>
    <w:p>
      <w:pPr>
        <w:ind w:left="3120"/>
        <w:spacing w:after="0"/>
        <w:tabs>
          <w:tab w:leader="none" w:pos="3660" w:val="left"/>
        </w:tabs>
        <w:rPr>
          <w:sz w:val="20"/>
          <w:szCs w:val="20"/>
          <w:color w:val="auto"/>
        </w:rPr>
      </w:pPr>
      <w:r>
        <w:rPr>
          <w:rFonts w:ascii="Arial" w:cs="Arial" w:eastAsia="Arial" w:hAnsi="Arial"/>
          <w:sz w:val="16"/>
          <w:szCs w:val="16"/>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Amended and Restated Charter</w:t>
      </w:r>
      <w:r>
        <w:rPr>
          <w:rFonts w:ascii="Arial" w:cs="Arial" w:eastAsia="Arial" w:hAnsi="Arial"/>
          <w:sz w:val="16"/>
          <w:szCs w:val="16"/>
          <w:color w:val="auto"/>
        </w:rPr>
        <w:t>]</w:t>
      </w:r>
    </w:p>
    <w:p>
      <w:pPr>
        <w:sectPr>
          <w:pgSz w:w="11900" w:h="16838" w:orient="portrait"/>
          <w:cols w:equalWidth="0" w:num="1">
            <w:col w:w="11080"/>
          </w:cols>
          <w:pgMar w:left="300" w:top="1097" w:right="5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4"/>
          <w:szCs w:val="14"/>
          <w:b w:val="1"/>
          <w:bCs w:val="1"/>
          <w:color w:val="auto"/>
        </w:rPr>
        <w:t>Exhibit 4.3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286" w:lineRule="exact"/>
        <w:rPr>
          <w:sz w:val="20"/>
          <w:szCs w:val="20"/>
          <w:color w:val="auto"/>
        </w:rPr>
      </w:pPr>
    </w:p>
    <w:p>
      <w:pPr>
        <w:ind w:firstLine="492"/>
        <w:spacing w:after="0" w:line="271" w:lineRule="auto"/>
        <w:rPr>
          <w:sz w:val="20"/>
          <w:szCs w:val="20"/>
          <w:color w:val="auto"/>
        </w:rPr>
      </w:pPr>
      <w:r>
        <w:rPr>
          <w:rFonts w:ascii="Arial" w:cs="Arial" w:eastAsia="Arial" w:hAnsi="Arial"/>
          <w:sz w:val="13"/>
          <w:szCs w:val="13"/>
          <w:color w:val="auto"/>
        </w:rPr>
        <w:t>The following is a general description of the securities of Enact Holdings, Inc. (the “Company,” “we,” “us” or “our”) registered pursuant to Section 12 of the Securities Exchange Act of 1934, as amended (the “Exchange Act”). The description of the relevant provisions of our amended and restated certificate of incorporation (“Certificate of Incorporation”), amended and restated bylaws (“Bylaws”) and the General Corporation Law of the State of Delaware (the “DGCL”) does not purport to be complete and is qualified in its entirety by reference to the full text of the documents. Our Certificate of Incorporation and Bylaws are filed as exhibits to this Annual Report and are incorporated by reference herein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one class of securities registered pursuant to Section 12 of the Exchange Act: Common stock, par value $0.01 per share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Our Certificate of Incorporation authorizes 600,000,000 shares of common stock $0.01 par value per share, and 50,000,000 shares of undesignated preferred stock, $0.01 par</w:t>
      </w:r>
    </w:p>
    <w:p>
      <w:pPr>
        <w:spacing w:after="0" w:line="45"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auto"/>
        </w:rPr>
        <w:t>value per share, (“preferred stock”) the rights, preferences and privileges of which may be designated from time to time by our board of directors. We currently do not have any preferred stock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Dividend Rights</w:t>
      </w:r>
    </w:p>
    <w:p>
      <w:pPr>
        <w:spacing w:after="0" w:line="140" w:lineRule="exact"/>
        <w:rPr>
          <w:sz w:val="20"/>
          <w:szCs w:val="20"/>
          <w:color w:val="auto"/>
        </w:rPr>
      </w:pPr>
    </w:p>
    <w:p>
      <w:pPr>
        <w:ind w:right="240" w:firstLine="492"/>
        <w:spacing w:after="0" w:line="246" w:lineRule="auto"/>
        <w:rPr>
          <w:sz w:val="20"/>
          <w:szCs w:val="20"/>
          <w:color w:val="auto"/>
        </w:rPr>
      </w:pPr>
      <w:r>
        <w:rPr>
          <w:rFonts w:ascii="Arial" w:cs="Arial" w:eastAsia="Arial" w:hAnsi="Arial"/>
          <w:sz w:val="14"/>
          <w:szCs w:val="14"/>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subject to any statutory, regulatory or contractual restrictions on the payment of dividends.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Voting Rights</w:t>
      </w:r>
    </w:p>
    <w:p>
      <w:pPr>
        <w:spacing w:after="0" w:line="140" w:lineRule="exact"/>
        <w:rPr>
          <w:sz w:val="20"/>
          <w:szCs w:val="20"/>
          <w:color w:val="auto"/>
        </w:rPr>
      </w:pPr>
    </w:p>
    <w:p>
      <w:pPr>
        <w:ind w:right="120" w:firstLine="492"/>
        <w:spacing w:after="0" w:line="269" w:lineRule="auto"/>
        <w:rPr>
          <w:sz w:val="20"/>
          <w:szCs w:val="20"/>
          <w:color w:val="auto"/>
        </w:rPr>
      </w:pPr>
      <w:r>
        <w:rPr>
          <w:rFonts w:ascii="Arial" w:cs="Arial" w:eastAsia="Arial" w:hAnsi="Arial"/>
          <w:sz w:val="13"/>
          <w:szCs w:val="13"/>
          <w:color w:val="auto"/>
        </w:rPr>
        <w:t>The holders of our common stock are entitled to one vote per share with respect to each matter presented to our stockholders on which the holders of our common stock are entitled to vote; provided, however, that, except as otherwise required by law, holders of common stock, are not entitled to vote on any amendment to the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designations relating to any series of preferred stock) or the DGCL. Holders of our common stock will not have cumulative voting rights in the election of directors.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No Preemptive or Similar Rights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Right to Receive Liquidation Distributions</w:t>
      </w:r>
    </w:p>
    <w:p>
      <w:pPr>
        <w:spacing w:after="0" w:line="140" w:lineRule="exact"/>
        <w:rPr>
          <w:sz w:val="20"/>
          <w:szCs w:val="20"/>
          <w:color w:val="auto"/>
        </w:rPr>
      </w:pPr>
    </w:p>
    <w:p>
      <w:pPr>
        <w:ind w:right="260" w:firstLine="492"/>
        <w:spacing w:after="0" w:line="248" w:lineRule="auto"/>
        <w:rPr>
          <w:sz w:val="20"/>
          <w:szCs w:val="20"/>
          <w:color w:val="auto"/>
        </w:rPr>
      </w:pPr>
      <w:r>
        <w:rPr>
          <w:rFonts w:ascii="Arial" w:cs="Arial" w:eastAsia="Arial" w:hAnsi="Arial"/>
          <w:sz w:val="14"/>
          <w:szCs w:val="14"/>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ectPr>
          <w:pgSz w:w="11900" w:h="16838" w:orient="portrait"/>
          <w:cols w:equalWidth="0" w:num="1">
            <w:col w:w="11280"/>
          </w:cols>
          <w:pgMar w:left="300" w:top="1108" w:right="31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color w:val="auto"/>
        </w:rPr>
        <w:t>and the preferential rights and the payment of liquidation preferences, if any, on any outstanding shares of our 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42" w:lineRule="exact"/>
        <w:rPr>
          <w:sz w:val="20"/>
          <w:szCs w:val="20"/>
          <w:color w:val="auto"/>
        </w:rPr>
      </w:pPr>
    </w:p>
    <w:p>
      <w:pPr>
        <w:ind w:right="80" w:firstLine="492"/>
        <w:spacing w:after="0" w:line="267" w:lineRule="auto"/>
        <w:rPr>
          <w:sz w:val="20"/>
          <w:szCs w:val="20"/>
          <w:color w:val="auto"/>
        </w:rPr>
      </w:pPr>
      <w:r>
        <w:rPr>
          <w:rFonts w:ascii="Arial" w:cs="Arial" w:eastAsia="Arial" w:hAnsi="Arial"/>
          <w:sz w:val="13"/>
          <w:szCs w:val="13"/>
          <w:color w:val="auto"/>
        </w:rPr>
        <w:t>Pursuant to our Certificate of Incorporation, our board of directors is authorized,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42" w:lineRule="exact"/>
        <w:rPr>
          <w:sz w:val="20"/>
          <w:szCs w:val="20"/>
          <w:color w:val="auto"/>
        </w:rPr>
      </w:pPr>
    </w:p>
    <w:p>
      <w:pPr>
        <w:ind w:firstLine="492"/>
        <w:spacing w:after="0" w:line="245" w:lineRule="auto"/>
        <w:rPr>
          <w:sz w:val="20"/>
          <w:szCs w:val="20"/>
          <w:color w:val="auto"/>
        </w:rPr>
      </w:pPr>
      <w:r>
        <w:rPr>
          <w:rFonts w:ascii="Arial" w:cs="Arial" w:eastAsia="Arial" w:hAnsi="Arial"/>
          <w:sz w:val="14"/>
          <w:szCs w:val="14"/>
          <w:color w:val="auto"/>
        </w:rPr>
        <w:t>We entered into a registration rights agreement (the “Registration Rights Agreement”) with Genworth Financial, Inc. (the “Parent”), pursuant to which our Parent is able to require us, beginning after the 180-day lock-up period, to file one or more registration statements with the SEC covering the public resale of registrable securities beneficially owned by our Parent or to effect a shelf takedown offering. We are required to bear the registration expenses, other than the underwriting discount and transfer taxes, associated with any registration of stock pursuant to the Registration Rights Agreement. The Registration Rights Agreement includes customary indemnification provisions in favor of our Parent, any person who is or might be deemed a control person (within the meaning of the Securities Act of 1933, as amended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 Our Parent additionally has “piggyback” rights, pursuant to which our Parent is entitled to participate in certain registrations or offerings we may undertake, subject to cutback in certain cases.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Master Agreement</w:t>
      </w:r>
    </w:p>
    <w:p>
      <w:pPr>
        <w:spacing w:after="0" w:line="142" w:lineRule="exact"/>
        <w:rPr>
          <w:sz w:val="20"/>
          <w:szCs w:val="20"/>
          <w:color w:val="auto"/>
        </w:rPr>
      </w:pPr>
    </w:p>
    <w:p>
      <w:pPr>
        <w:ind w:right="40" w:firstLine="492"/>
        <w:spacing w:after="0" w:line="246" w:lineRule="auto"/>
        <w:rPr>
          <w:sz w:val="20"/>
          <w:szCs w:val="20"/>
          <w:color w:val="auto"/>
        </w:rPr>
      </w:pPr>
      <w:r>
        <w:rPr>
          <w:rFonts w:ascii="Arial" w:cs="Arial" w:eastAsia="Arial" w:hAnsi="Arial"/>
          <w:sz w:val="14"/>
          <w:szCs w:val="14"/>
          <w:color w:val="auto"/>
        </w:rPr>
        <w:t>Under the terms of the master agreement that we entered into with our Parent in connection with our initial public offering (the “Master Agreement”), our Parent is entitled to designate a certain number of persons to our board of directors and certain committees thereof depending on the beneficial ownership by our Parent of our outstanding common stock. In addition, for so long as our Parent beneficially owns more than 50% of our outstanding common stock, we are required to seek the prior written consent of our Parent to take various significant corporation actions (subject to certain exceptions).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142" w:lineRule="exact"/>
        <w:rPr>
          <w:sz w:val="20"/>
          <w:szCs w:val="20"/>
          <w:color w:val="auto"/>
        </w:rPr>
      </w:pPr>
    </w:p>
    <w:p>
      <w:pPr>
        <w:ind w:right="20" w:firstLine="492"/>
        <w:spacing w:after="0" w:line="245" w:lineRule="auto"/>
        <w:rPr>
          <w:sz w:val="20"/>
          <w:szCs w:val="20"/>
          <w:color w:val="auto"/>
        </w:rPr>
      </w:pPr>
      <w:r>
        <w:rPr>
          <w:rFonts w:ascii="Arial" w:cs="Arial" w:eastAsia="Arial" w:hAnsi="Arial"/>
          <w:sz w:val="14"/>
          <w:szCs w:val="14"/>
          <w:color w:val="auto"/>
        </w:rPr>
        <w:t>The provisions of the DGCL, our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ectPr>
          <w:pgSz w:w="11900" w:h="16838" w:orient="portrait"/>
          <w:cols w:equalWidth="0" w:num="1">
            <w:col w:w="11260"/>
          </w:cols>
          <w:pgMar w:left="300" w:top="1206" w:right="339" w:bottom="1440" w:gutter="0" w:footer="0" w:header="0"/>
        </w:sectPr>
      </w:pPr>
    </w:p>
    <w:bookmarkStart w:id="195" w:name="page196"/>
    <w:bookmarkEnd w:id="195"/>
    <w:p>
      <w:pPr>
        <w:ind w:left="500"/>
        <w:spacing w:after="0"/>
        <w:rPr>
          <w:sz w:val="20"/>
          <w:szCs w:val="20"/>
          <w:color w:val="auto"/>
        </w:rPr>
      </w:pPr>
      <w:r>
        <w:rPr>
          <w:rFonts w:ascii="Arial" w:cs="Arial" w:eastAsia="Arial" w:hAnsi="Arial"/>
          <w:sz w:val="14"/>
          <w:szCs w:val="14"/>
          <w:b w:val="1"/>
          <w:bCs w:val="1"/>
          <w:i w:val="1"/>
          <w:iCs w:val="1"/>
          <w:color w:val="auto"/>
        </w:rPr>
        <w:t>Certain Certificate of Incorporation and Bylaws Provisions</w:t>
      </w:r>
    </w:p>
    <w:p>
      <w:pPr>
        <w:spacing w:after="0" w:line="142"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auto"/>
        </w:rPr>
        <w:t>Our Certificate of Incorporation and our Bylaws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No Cumulative Voting</w:t>
      </w:r>
    </w:p>
    <w:p>
      <w:pPr>
        <w:spacing w:after="0" w:line="140" w:lineRule="exact"/>
        <w:rPr>
          <w:sz w:val="20"/>
          <w:szCs w:val="20"/>
          <w:color w:val="auto"/>
        </w:rPr>
      </w:pPr>
    </w:p>
    <w:p>
      <w:pPr>
        <w:ind w:right="500" w:firstLine="492"/>
        <w:spacing w:after="0" w:line="248" w:lineRule="auto"/>
        <w:rPr>
          <w:sz w:val="20"/>
          <w:szCs w:val="20"/>
          <w:color w:val="auto"/>
        </w:rPr>
      </w:pPr>
      <w:r>
        <w:rPr>
          <w:rFonts w:ascii="Arial" w:cs="Arial" w:eastAsia="Arial" w:hAnsi="Arial"/>
          <w:sz w:val="14"/>
          <w:szCs w:val="14"/>
          <w:color w:val="auto"/>
        </w:rPr>
        <w:t>The DGCL provides that stockholders are not entitled to the right to cumulative voting in the election of directors unless a corporation’s certificate of incorporation provides otherwise. Our Certificate of Incorporation does not provide for cumulative voting.</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Issuance of Undesignated Preferred Stock</w:t>
      </w:r>
    </w:p>
    <w:p>
      <w:pPr>
        <w:spacing w:after="0" w:line="140" w:lineRule="exact"/>
        <w:rPr>
          <w:sz w:val="20"/>
          <w:szCs w:val="20"/>
          <w:color w:val="auto"/>
        </w:rPr>
      </w:pPr>
    </w:p>
    <w:p>
      <w:pPr>
        <w:ind w:right="80" w:firstLine="492"/>
        <w:spacing w:after="0" w:line="246" w:lineRule="auto"/>
        <w:rPr>
          <w:sz w:val="20"/>
          <w:szCs w:val="20"/>
          <w:color w:val="auto"/>
        </w:rPr>
      </w:pPr>
      <w:r>
        <w:rPr>
          <w:rFonts w:ascii="Arial" w:cs="Arial" w:eastAsia="Arial" w:hAnsi="Arial"/>
          <w:sz w:val="14"/>
          <w:szCs w:val="14"/>
          <w:color w:val="auto"/>
        </w:rPr>
        <w:t>As discussed above, our board of directors has the authority, without further action by the stockholders, to issue up to 50,000,000 shares of undesignated preferred stock with rights and preferences, including voting rights, designated from time to time by our board of directors. The existence of authorized but unissued shares of our preferred stock enables our board of directors to render more difficult or to discourage an attempt to obtain control of us by means of a merger, tender offer, proxy contest or otherwise.</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Ability to Fill Vacancies</w:t>
      </w:r>
    </w:p>
    <w:p>
      <w:pPr>
        <w:spacing w:after="0" w:line="140" w:lineRule="exact"/>
        <w:rPr>
          <w:sz w:val="20"/>
          <w:szCs w:val="20"/>
          <w:color w:val="auto"/>
        </w:rPr>
      </w:pPr>
    </w:p>
    <w:p>
      <w:pPr>
        <w:ind w:firstLine="492"/>
        <w:spacing w:after="0" w:line="263" w:lineRule="auto"/>
        <w:rPr>
          <w:sz w:val="20"/>
          <w:szCs w:val="20"/>
          <w:color w:val="auto"/>
        </w:rPr>
      </w:pPr>
      <w:r>
        <w:rPr>
          <w:rFonts w:ascii="Arial" w:cs="Arial" w:eastAsia="Arial" w:hAnsi="Arial"/>
          <w:sz w:val="13"/>
          <w:szCs w:val="13"/>
          <w:color w:val="auto"/>
        </w:rPr>
        <w:t>Subject to the terms and conditions of the Master Agreement and the rights of one or more series of preferred stock then outstanding, (i) any newly created directorship or any vacancy on the Board of Directors for any cause, shall be filled solely by a majority of the directors then in office, even if less than a quorum remains, or by the sole remaining director, and</w:t>
      </w:r>
    </w:p>
    <w:p>
      <w:pPr>
        <w:spacing w:after="0" w:line="1" w:lineRule="exact"/>
        <w:rPr>
          <w:sz w:val="20"/>
          <w:szCs w:val="20"/>
          <w:color w:val="auto"/>
        </w:rPr>
      </w:pPr>
    </w:p>
    <w:p>
      <w:pPr>
        <w:ind w:left="500" w:right="5320" w:hanging="498"/>
        <w:spacing w:after="0" w:line="428" w:lineRule="auto"/>
        <w:tabs>
          <w:tab w:leader="none" w:pos="197"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the right of stockholders to fill vacancies on the Board of Directors is hereby specifically denied. </w:t>
      </w:r>
      <w:r>
        <w:rPr>
          <w:rFonts w:ascii="Arial" w:cs="Arial" w:eastAsia="Arial" w:hAnsi="Arial"/>
          <w:sz w:val="14"/>
          <w:szCs w:val="14"/>
          <w:i w:val="1"/>
          <w:iCs w:val="1"/>
          <w:color w:val="auto"/>
        </w:rPr>
        <w:t>Stockholder Action by Written Consent; Special Meetings of Stockholders</w:t>
      </w:r>
    </w:p>
    <w:p>
      <w:pPr>
        <w:ind w:right="40" w:firstLine="492"/>
        <w:spacing w:after="0" w:line="274" w:lineRule="auto"/>
        <w:rPr>
          <w:sz w:val="20"/>
          <w:szCs w:val="20"/>
          <w:color w:val="auto"/>
        </w:rPr>
      </w:pPr>
      <w:r>
        <w:rPr>
          <w:rFonts w:ascii="Arial" w:cs="Arial" w:eastAsia="Arial" w:hAnsi="Arial"/>
          <w:sz w:val="13"/>
          <w:szCs w:val="13"/>
          <w:color w:val="auto"/>
        </w:rPr>
        <w:t>Subject to the terms of any series of preferred stock, (i) for so long as Parent beneficially owns (directly or indirectly) at least a majority of the voting power of the then outstanding shares of stock of the Company entitled to vote generally in the election of directors (the “Voting Stock”), any action that is required or permitted to be taken by our stockholders may be effected by consent in lieu of a meeting and (ii) if Parent no longer beneficially owns (directly or indirectly) at least a majority of the Voting Stock, any action required or permitted to be</w:t>
      </w:r>
    </w:p>
    <w:p>
      <w:pPr>
        <w:spacing w:after="0" w:line="11"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taken by our stockholders must be effected at a duly called annual or special meeting of our stockholders and may not be effected by any consent in lieu of a meeting. In addition, except as otherwise required by law, special meetings of our stockholders, for any purpose or purposes, may be called at any time only (i) by the Chairperson of the Board of Directors, (ii) by our Chief Executive Officer (or, in the absence of a Chief Executive Officer, the President), (iii) pursuant to a resolution duly adopted by a majority of the Board of Directors or (iv) so long as Parent beneficially owns (directly or indirectly) at least 50% or more of the Voting Stock, by the Secretary of the Company at the request of the holders of shares representing at least 50% of the Voting Stock. Other than as set forth in clause (iv) of the preceding sentence, stockholders cannot otherwise call a special meeting of stockholders.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Requirements for Advance Notification of Stockholder Nominations and Proposals</w:t>
      </w:r>
    </w:p>
    <w:p>
      <w:pPr>
        <w:spacing w:after="0" w:line="140" w:lineRule="exact"/>
        <w:rPr>
          <w:sz w:val="20"/>
          <w:szCs w:val="20"/>
          <w:color w:val="auto"/>
        </w:rPr>
      </w:pPr>
    </w:p>
    <w:p>
      <w:pPr>
        <w:ind w:right="60" w:firstLine="492"/>
        <w:spacing w:after="0" w:line="246" w:lineRule="auto"/>
        <w:rPr>
          <w:sz w:val="20"/>
          <w:szCs w:val="20"/>
          <w:color w:val="auto"/>
        </w:rPr>
      </w:pPr>
      <w:r>
        <w:rPr>
          <w:rFonts w:ascii="Arial" w:cs="Arial" w:eastAsia="Arial" w:hAnsi="Arial"/>
          <w:sz w:val="14"/>
          <w:szCs w:val="14"/>
          <w:color w:val="auto"/>
        </w:rPr>
        <w:t>Our Bylaws establish advance notice procedures with respect to stockholder proposals and stockholder nomination of candidates for election as directors. For any matter to be “properly brought” before a meeting, a stockholder will have to comply with advance notice requirements and provide us, as applicable, among other things, with certain information related to the stockholder giving the notice, the beneficial owner (if any) on whose behalf the nomination is made, and information about the proposal or nominee for election to the Board of Directors.</w:t>
      </w:r>
    </w:p>
    <w:p>
      <w:pPr>
        <w:sectPr>
          <w:pgSz w:w="11900" w:h="16838" w:orient="portrait"/>
          <w:cols w:equalWidth="0" w:num="1">
            <w:col w:w="11260"/>
          </w:cols>
          <w:pgMar w:left="300" w:top="1190" w:right="339" w:bottom="1440" w:gutter="0" w:footer="0" w:header="0"/>
        </w:sectPr>
      </w:pPr>
    </w:p>
    <w:bookmarkStart w:id="196" w:name="page197"/>
    <w:bookmarkEnd w:id="196"/>
    <w:p>
      <w:pPr>
        <w:ind w:left="500"/>
        <w:spacing w:after="0"/>
        <w:rPr>
          <w:sz w:val="20"/>
          <w:szCs w:val="20"/>
          <w:color w:val="auto"/>
        </w:rPr>
      </w:pPr>
      <w:r>
        <w:rPr>
          <w:rFonts w:ascii="Arial" w:cs="Arial" w:eastAsia="Arial" w:hAnsi="Arial"/>
          <w:sz w:val="14"/>
          <w:szCs w:val="14"/>
          <w:i w:val="1"/>
          <w:iCs w:val="1"/>
          <w:color w:val="auto"/>
        </w:rPr>
        <w:t>Corporate Opportunities Waiver</w:t>
      </w:r>
    </w:p>
    <w:p>
      <w:pPr>
        <w:spacing w:after="0" w:line="140" w:lineRule="exact"/>
        <w:rPr>
          <w:sz w:val="20"/>
          <w:szCs w:val="20"/>
          <w:color w:val="auto"/>
        </w:rPr>
      </w:pPr>
    </w:p>
    <w:p>
      <w:pPr>
        <w:ind w:firstLine="492"/>
        <w:spacing w:after="0" w:line="230" w:lineRule="auto"/>
        <w:rPr>
          <w:sz w:val="20"/>
          <w:szCs w:val="20"/>
          <w:color w:val="auto"/>
        </w:rPr>
      </w:pPr>
      <w:r>
        <w:rPr>
          <w:rFonts w:ascii="Arial" w:cs="Arial" w:eastAsia="Arial" w:hAnsi="Arial"/>
          <w:sz w:val="14"/>
          <w:szCs w:val="14"/>
          <w:color w:val="auto"/>
        </w:rPr>
        <w:t>To the fullest extent permitted by applicable law (including, without limitation, Section 122(17) of the DGCL (or any successor provision)), we, on behalf of us and our subsidiaries, renounced in the Certificate of Incorporation any interest or expectancy of us and our subsidiaries in, or in being offered an opportunity to participate in, business opportunities that are from time to time presented to Parent or any of its officers, directors, employees, agents, shareholders and affiliates (other than us and our subsidiaries) (each, a “Specified Party”), even if the opportunity is one that we or any of our subsidiaries might reasonably be deemed to have pursued or had the ability or desire to pursue if presented the opportunity to do so. Each such Specified Party shall have no duty to communicate or offer such business opportunity to us or any of our subsidiaries and, to the fullest extent permitted by applicable law, shall not be liable to us or any of our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us or any of our subsidiaries. Notwithstanding the foregoing, a Specified Party who is our director or officer and who is expressly offered a business opportunity solely in his or her capacity as our director or officer (a “Directed Opportunity”) shall be obligated to communicate such Directed Opportunity to us. The Specified Parties shall, to the fullest extent permitted by applicable law, have no duty to refrain from (i) engaging directly or indirectly in the same or similar business activities or lines of business as us or any of our subsidiaries or (ii) otherwise competing with us or any of our subsidiaries. Any person or entity purchasing or otherwise acquiring or holding any interest in the shares of our stock of shall be deemed to have notice of and consented to these corporate opportunity waive provisions.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Delaware Takeover Statute</w:t>
      </w:r>
    </w:p>
    <w:p>
      <w:pPr>
        <w:spacing w:after="0" w:line="140" w:lineRule="exact"/>
        <w:rPr>
          <w:sz w:val="20"/>
          <w:szCs w:val="20"/>
          <w:color w:val="auto"/>
        </w:rPr>
      </w:pPr>
    </w:p>
    <w:p>
      <w:pPr>
        <w:ind w:right="140" w:firstLine="492"/>
        <w:spacing w:after="0" w:line="246" w:lineRule="auto"/>
        <w:rPr>
          <w:sz w:val="20"/>
          <w:szCs w:val="20"/>
          <w:color w:val="auto"/>
        </w:rPr>
      </w:pPr>
      <w:r>
        <w:rPr>
          <w:rFonts w:ascii="Arial" w:cs="Arial" w:eastAsia="Arial" w:hAnsi="Arial"/>
          <w:sz w:val="14"/>
          <w:szCs w:val="14"/>
          <w:color w:val="auto"/>
        </w:rPr>
        <w:t>In general, Section 203 of the DGCL, an anti-takeover provision, prohibits a publicly held Delaware corporation from engaging in a business combination, such as a merger, with an interested stockholder, or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the manner prescribed by the DGCL and Delaware Court of Chancery.</w:t>
      </w:r>
    </w:p>
    <w:p>
      <w:pPr>
        <w:spacing w:after="0" w:line="120" w:lineRule="exact"/>
        <w:rPr>
          <w:sz w:val="20"/>
          <w:szCs w:val="20"/>
          <w:color w:val="auto"/>
        </w:rPr>
      </w:pPr>
    </w:p>
    <w:p>
      <w:pPr>
        <w:ind w:right="100" w:firstLine="492"/>
        <w:spacing w:after="0" w:line="246" w:lineRule="auto"/>
        <w:rPr>
          <w:sz w:val="20"/>
          <w:szCs w:val="20"/>
          <w:color w:val="auto"/>
        </w:rPr>
      </w:pPr>
      <w:r>
        <w:rPr>
          <w:rFonts w:ascii="Arial" w:cs="Arial" w:eastAsia="Arial" w:hAnsi="Arial"/>
          <w:sz w:val="14"/>
          <w:szCs w:val="14"/>
          <w:color w:val="auto"/>
        </w:rPr>
        <w:t>We elected in Certificate of Incorporation not to be subject to Section 203. However, the Certificate of Incorporation contains provisions that have generally the same effect as Section 203, except that the Parent and any current and future affiliates of the Parent (so long as such affiliate remains an affiliate but excluding the Company), as well as their direct and indirect transferees and any “group” of which any such person is part under Rule 13d-5 under the Exchange Act, will not be deemed to be “interested stockholders,” regardless of the percentage of our voting stock owned by them, and accordingly will not be subject to such restrictions.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Exclusive Forum</w:t>
      </w:r>
    </w:p>
    <w:p>
      <w:pPr>
        <w:spacing w:after="0" w:line="140" w:lineRule="exact"/>
        <w:rPr>
          <w:sz w:val="20"/>
          <w:szCs w:val="20"/>
          <w:color w:val="auto"/>
        </w:rPr>
      </w:pPr>
    </w:p>
    <w:p>
      <w:pPr>
        <w:ind w:right="20" w:firstLine="492"/>
        <w:spacing w:after="0" w:line="263" w:lineRule="auto"/>
        <w:rPr>
          <w:sz w:val="20"/>
          <w:szCs w:val="20"/>
          <w:color w:val="auto"/>
        </w:rPr>
      </w:pPr>
      <w:r>
        <w:rPr>
          <w:rFonts w:ascii="Arial" w:cs="Arial" w:eastAsia="Arial" w:hAnsi="Arial"/>
          <w:sz w:val="13"/>
          <w:szCs w:val="13"/>
          <w:color w:val="auto"/>
        </w:rPr>
        <w:t>Our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Certificate of Incorporation or our Bylaws (each, as in effect from time to time), or</w:t>
      </w:r>
    </w:p>
    <w:p>
      <w:pPr>
        <w:spacing w:after="0" w:line="1" w:lineRule="exact"/>
        <w:rPr>
          <w:sz w:val="20"/>
          <w:szCs w:val="20"/>
          <w:color w:val="auto"/>
        </w:rPr>
      </w:pPr>
    </w:p>
    <w:p>
      <w:pPr>
        <w:ind w:right="100" w:firstLine="2"/>
        <w:spacing w:after="0" w:line="246" w:lineRule="auto"/>
        <w:tabs>
          <w:tab w:leader="none" w:pos="22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w:t>
      </w:r>
    </w:p>
    <w:p>
      <w:pPr>
        <w:sectPr>
          <w:pgSz w:w="11900" w:h="16838" w:orient="portrait"/>
          <w:cols w:equalWidth="0" w:num="1">
            <w:col w:w="11280"/>
          </w:cols>
          <w:pgMar w:left="300" w:top="1192" w:right="319" w:bottom="1440" w:gutter="0" w:footer="0" w:header="0"/>
        </w:sectPr>
      </w:pPr>
    </w:p>
    <w:bookmarkStart w:id="197" w:name="page198"/>
    <w:bookmarkEnd w:id="197"/>
    <w:p>
      <w:pPr>
        <w:spacing w:after="0" w:line="245" w:lineRule="auto"/>
        <w:rPr>
          <w:sz w:val="20"/>
          <w:szCs w:val="20"/>
          <w:color w:val="auto"/>
        </w:rPr>
      </w:pPr>
      <w:r>
        <w:rPr>
          <w:rFonts w:ascii="Arial" w:cs="Arial" w:eastAsia="Arial" w:hAnsi="Arial"/>
          <w:sz w:val="14"/>
          <w:szCs w:val="14"/>
          <w:color w:val="auto"/>
        </w:rPr>
        <w:t>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This exclusive forum provision does not apply to actions arising under the Exchange Act. 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Listing</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common stock is listed on Nasdaq under the symbol “ACT.”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transfer agent and registrar for our common stock is Computershare Trust Company, N.A. The transfer agent’s address is 150 Royall Street, Canton, MA 02021.</w:t>
      </w:r>
    </w:p>
    <w:p>
      <w:pPr>
        <w:sectPr>
          <w:pgSz w:w="11900" w:h="16838" w:orient="portrait"/>
          <w:cols w:equalWidth="0" w:num="1">
            <w:col w:w="11280"/>
          </w:cols>
          <w:pgMar w:left="300" w:top="1206"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6"/>
          <w:szCs w:val="16"/>
          <w:b w:val="1"/>
          <w:bCs w:val="1"/>
          <w:color w:val="auto"/>
        </w:rPr>
        <w:t>Exhibit 10.4</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SHARED SERVICES AGREEMENT</w:t>
      </w:r>
    </w:p>
    <w:p>
      <w:pPr>
        <w:spacing w:after="0" w:line="148"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between</w:t>
      </w:r>
    </w:p>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GENWORTH FINANCIAL, INC.</w:t>
      </w:r>
    </w:p>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and</w:t>
      </w:r>
    </w:p>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ENACT HOLDINGS, INC.</w:t>
      </w:r>
    </w:p>
    <w:p>
      <w:pPr>
        <w:spacing w:after="0" w:line="308"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DATED 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140"/>
          </w:cols>
          <w:pgMar w:left="1440" w:top="108" w:right="31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7440" w:type="dxa"/>
            <w:vAlign w:val="bottom"/>
          </w:tcPr>
          <w:p>
            <w:pPr>
              <w:ind w:left="3600"/>
              <w:spacing w:after="0"/>
              <w:rPr>
                <w:sz w:val="20"/>
                <w:szCs w:val="20"/>
                <w:color w:val="auto"/>
              </w:rPr>
            </w:pPr>
            <w:r>
              <w:rPr>
                <w:rFonts w:ascii="Arial" w:cs="Arial" w:eastAsia="Arial" w:hAnsi="Arial"/>
                <w:sz w:val="16"/>
                <w:szCs w:val="16"/>
                <w:b w:val="1"/>
                <w:bCs w:val="1"/>
                <w:color w:val="auto"/>
              </w:rPr>
              <w:t>TABLE OF CONTENTS</w:t>
            </w:r>
          </w:p>
        </w:tc>
        <w:tc>
          <w:tcPr>
            <w:tcW w:w="2680" w:type="dxa"/>
            <w:vAlign w:val="bottom"/>
          </w:tcPr>
          <w:p>
            <w:pPr>
              <w:spacing w:after="0"/>
              <w:rPr>
                <w:sz w:val="18"/>
                <w:szCs w:val="18"/>
                <w:color w:val="auto"/>
              </w:rPr>
            </w:pPr>
          </w:p>
        </w:tc>
      </w:tr>
      <w:tr>
        <w:trPr>
          <w:trHeight w:val="328"/>
        </w:trPr>
        <w:tc>
          <w:tcPr>
            <w:tcW w:w="11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680" w:type="dxa"/>
            <w:vAlign w:val="bottom"/>
          </w:tcPr>
          <w:p>
            <w:pPr>
              <w:ind w:left="2360"/>
              <w:spacing w:after="0"/>
              <w:rPr>
                <w:sz w:val="20"/>
                <w:szCs w:val="20"/>
                <w:color w:val="auto"/>
              </w:rPr>
            </w:pPr>
            <w:r>
              <w:rPr>
                <w:rFonts w:ascii="Arial" w:cs="Arial" w:eastAsia="Arial" w:hAnsi="Arial"/>
                <w:sz w:val="16"/>
                <w:szCs w:val="16"/>
                <w:color w:val="auto"/>
                <w:w w:val="80"/>
              </w:rPr>
              <w:t>Page</w:t>
            </w:r>
          </w:p>
        </w:tc>
      </w:tr>
      <w:tr>
        <w:trPr>
          <w:trHeight w:val="387"/>
        </w:trPr>
        <w:tc>
          <w:tcPr>
            <w:tcW w:w="8540" w:type="dxa"/>
            <w:vAlign w:val="bottom"/>
            <w:gridSpan w:val="2"/>
          </w:tcPr>
          <w:p>
            <w:pPr>
              <w:spacing w:after="0"/>
              <w:rPr>
                <w:sz w:val="20"/>
                <w:szCs w:val="20"/>
                <w:color w:val="auto"/>
              </w:rPr>
            </w:pPr>
            <w:r>
              <w:rPr>
                <w:rFonts w:ascii="Arial" w:cs="Arial" w:eastAsia="Arial" w:hAnsi="Arial"/>
                <w:sz w:val="16"/>
                <w:szCs w:val="16"/>
                <w:color w:val="auto"/>
              </w:rPr>
              <w:t>Article I DEFINITIONS</w:t>
            </w:r>
          </w:p>
        </w:tc>
        <w:tc>
          <w:tcPr>
            <w:tcW w:w="2680" w:type="dxa"/>
            <w:vAlign w:val="bottom"/>
          </w:tcPr>
          <w:p>
            <w:pPr>
              <w:spacing w:after="0"/>
              <w:rPr>
                <w:sz w:val="24"/>
                <w:szCs w:val="24"/>
                <w:color w:val="auto"/>
              </w:rPr>
            </w:pP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1.01  Certain Defined Terms</w:t>
            </w:r>
          </w:p>
        </w:tc>
        <w:tc>
          <w:tcPr>
            <w:tcW w:w="2680" w:type="dxa"/>
            <w:vAlign w:val="bottom"/>
          </w:tcPr>
          <w:p>
            <w:pPr>
              <w:ind w:left="2060"/>
              <w:spacing w:after="0"/>
              <w:rPr>
                <w:sz w:val="20"/>
                <w:szCs w:val="20"/>
                <w:color w:val="auto"/>
              </w:rPr>
            </w:pPr>
            <w:r>
              <w:rPr>
                <w:rFonts w:ascii="Arial" w:cs="Arial" w:eastAsia="Arial" w:hAnsi="Arial"/>
                <w:sz w:val="16"/>
                <w:szCs w:val="16"/>
                <w:color w:val="auto"/>
              </w:rPr>
              <w:t>1</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1.02</w:t>
            </w:r>
          </w:p>
        </w:tc>
        <w:tc>
          <w:tcPr>
            <w:tcW w:w="7440" w:type="dxa"/>
            <w:vAlign w:val="bottom"/>
          </w:tcPr>
          <w:p>
            <w:pPr>
              <w:ind w:left="80"/>
              <w:spacing w:after="0"/>
              <w:rPr>
                <w:sz w:val="20"/>
                <w:szCs w:val="20"/>
                <w:color w:val="auto"/>
              </w:rPr>
            </w:pPr>
            <w:r>
              <w:rPr>
                <w:rFonts w:ascii="Arial" w:cs="Arial" w:eastAsia="Arial" w:hAnsi="Arial"/>
                <w:sz w:val="16"/>
                <w:szCs w:val="16"/>
                <w:color w:val="auto"/>
              </w:rPr>
              <w:t>Interpretation.</w:t>
            </w:r>
          </w:p>
        </w:tc>
        <w:tc>
          <w:tcPr>
            <w:tcW w:w="2680" w:type="dxa"/>
            <w:vAlign w:val="bottom"/>
          </w:tcPr>
          <w:p>
            <w:pPr>
              <w:ind w:left="2060"/>
              <w:spacing w:after="0"/>
              <w:rPr>
                <w:sz w:val="20"/>
                <w:szCs w:val="20"/>
                <w:color w:val="auto"/>
              </w:rPr>
            </w:pPr>
            <w:r>
              <w:rPr>
                <w:rFonts w:ascii="Arial" w:cs="Arial" w:eastAsia="Arial" w:hAnsi="Arial"/>
                <w:sz w:val="16"/>
                <w:szCs w:val="16"/>
                <w:color w:val="auto"/>
              </w:rPr>
              <w:t>6</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II SERVICES AND TERMS</w:t>
            </w:r>
          </w:p>
        </w:tc>
        <w:tc>
          <w:tcPr>
            <w:tcW w:w="2680" w:type="dxa"/>
            <w:vAlign w:val="bottom"/>
          </w:tcPr>
          <w:p>
            <w:pPr>
              <w:ind w:left="2060"/>
              <w:spacing w:after="0"/>
              <w:rPr>
                <w:sz w:val="20"/>
                <w:szCs w:val="20"/>
                <w:color w:val="auto"/>
              </w:rPr>
            </w:pPr>
            <w:r>
              <w:rPr>
                <w:rFonts w:ascii="Arial" w:cs="Arial" w:eastAsia="Arial" w:hAnsi="Arial"/>
                <w:sz w:val="16"/>
                <w:szCs w:val="16"/>
                <w:color w:val="auto"/>
              </w:rPr>
              <w:t>7</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2.01</w:t>
            </w:r>
          </w:p>
        </w:tc>
        <w:tc>
          <w:tcPr>
            <w:tcW w:w="7440" w:type="dxa"/>
            <w:vAlign w:val="bottom"/>
          </w:tcPr>
          <w:p>
            <w:pPr>
              <w:ind w:left="80"/>
              <w:spacing w:after="0"/>
              <w:rPr>
                <w:sz w:val="20"/>
                <w:szCs w:val="20"/>
                <w:color w:val="auto"/>
              </w:rPr>
            </w:pPr>
            <w:r>
              <w:rPr>
                <w:rFonts w:ascii="Arial" w:cs="Arial" w:eastAsia="Arial" w:hAnsi="Arial"/>
                <w:sz w:val="16"/>
                <w:szCs w:val="16"/>
                <w:color w:val="auto"/>
              </w:rPr>
              <w:t>Services</w:t>
            </w:r>
          </w:p>
        </w:tc>
        <w:tc>
          <w:tcPr>
            <w:tcW w:w="2680" w:type="dxa"/>
            <w:vAlign w:val="bottom"/>
          </w:tcPr>
          <w:p>
            <w:pPr>
              <w:ind w:left="2060"/>
              <w:spacing w:after="0"/>
              <w:rPr>
                <w:sz w:val="20"/>
                <w:szCs w:val="20"/>
                <w:color w:val="auto"/>
              </w:rPr>
            </w:pPr>
            <w:r>
              <w:rPr>
                <w:rFonts w:ascii="Arial" w:cs="Arial" w:eastAsia="Arial" w:hAnsi="Arial"/>
                <w:sz w:val="16"/>
                <w:szCs w:val="16"/>
                <w:color w:val="auto"/>
              </w:rPr>
              <w:t>7</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2.02  Information Systems Services.</w:t>
            </w:r>
          </w:p>
        </w:tc>
        <w:tc>
          <w:tcPr>
            <w:tcW w:w="2680" w:type="dxa"/>
            <w:vAlign w:val="bottom"/>
          </w:tcPr>
          <w:p>
            <w:pPr>
              <w:ind w:left="2060"/>
              <w:spacing w:after="0"/>
              <w:rPr>
                <w:sz w:val="20"/>
                <w:szCs w:val="20"/>
                <w:color w:val="auto"/>
              </w:rPr>
            </w:pPr>
            <w:r>
              <w:rPr>
                <w:rFonts w:ascii="Arial" w:cs="Arial" w:eastAsia="Arial" w:hAnsi="Arial"/>
                <w:sz w:val="16"/>
                <w:szCs w:val="16"/>
                <w:color w:val="auto"/>
              </w:rPr>
              <w:t>10</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2.03</w:t>
            </w:r>
          </w:p>
        </w:tc>
        <w:tc>
          <w:tcPr>
            <w:tcW w:w="7440" w:type="dxa"/>
            <w:vAlign w:val="bottom"/>
          </w:tcPr>
          <w:p>
            <w:pPr>
              <w:ind w:left="80"/>
              <w:spacing w:after="0"/>
              <w:rPr>
                <w:sz w:val="20"/>
                <w:szCs w:val="20"/>
                <w:color w:val="auto"/>
              </w:rPr>
            </w:pPr>
            <w:r>
              <w:rPr>
                <w:rFonts w:ascii="Arial" w:cs="Arial" w:eastAsia="Arial" w:hAnsi="Arial"/>
                <w:sz w:val="16"/>
                <w:szCs w:val="16"/>
                <w:color w:val="auto"/>
              </w:rPr>
              <w:t>Additional Support.</w:t>
            </w:r>
          </w:p>
        </w:tc>
        <w:tc>
          <w:tcPr>
            <w:tcW w:w="2680" w:type="dxa"/>
            <w:vAlign w:val="bottom"/>
          </w:tcPr>
          <w:p>
            <w:pPr>
              <w:ind w:left="2060"/>
              <w:spacing w:after="0"/>
              <w:rPr>
                <w:sz w:val="20"/>
                <w:szCs w:val="20"/>
                <w:color w:val="auto"/>
              </w:rPr>
            </w:pPr>
            <w:r>
              <w:rPr>
                <w:rFonts w:ascii="Arial" w:cs="Arial" w:eastAsia="Arial" w:hAnsi="Arial"/>
                <w:sz w:val="16"/>
                <w:szCs w:val="16"/>
                <w:color w:val="auto"/>
              </w:rPr>
              <w:t>11</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2.04  Genworth Services Manager.</w:t>
            </w:r>
          </w:p>
        </w:tc>
        <w:tc>
          <w:tcPr>
            <w:tcW w:w="2680" w:type="dxa"/>
            <w:vAlign w:val="bottom"/>
          </w:tcPr>
          <w:p>
            <w:pPr>
              <w:ind w:left="2060"/>
              <w:spacing w:after="0"/>
              <w:rPr>
                <w:sz w:val="20"/>
                <w:szCs w:val="20"/>
                <w:color w:val="auto"/>
              </w:rPr>
            </w:pPr>
            <w:r>
              <w:rPr>
                <w:rFonts w:ascii="Arial" w:cs="Arial" w:eastAsia="Arial" w:hAnsi="Arial"/>
                <w:sz w:val="16"/>
                <w:szCs w:val="16"/>
                <w:color w:val="auto"/>
              </w:rPr>
              <w:t>11</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2.05  Company Services Manager.</w:t>
            </w:r>
          </w:p>
        </w:tc>
        <w:tc>
          <w:tcPr>
            <w:tcW w:w="2680" w:type="dxa"/>
            <w:vAlign w:val="bottom"/>
          </w:tcPr>
          <w:p>
            <w:pPr>
              <w:ind w:left="2060"/>
              <w:spacing w:after="0"/>
              <w:rPr>
                <w:sz w:val="20"/>
                <w:szCs w:val="20"/>
                <w:color w:val="auto"/>
              </w:rPr>
            </w:pPr>
            <w:r>
              <w:rPr>
                <w:rFonts w:ascii="Arial" w:cs="Arial" w:eastAsia="Arial" w:hAnsi="Arial"/>
                <w:sz w:val="16"/>
                <w:szCs w:val="16"/>
                <w:color w:val="auto"/>
              </w:rPr>
              <w:t>12</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2.06  Performance and Receipt of Services.</w:t>
            </w:r>
          </w:p>
        </w:tc>
        <w:tc>
          <w:tcPr>
            <w:tcW w:w="2680" w:type="dxa"/>
            <w:vAlign w:val="bottom"/>
          </w:tcPr>
          <w:p>
            <w:pPr>
              <w:ind w:left="2060"/>
              <w:spacing w:after="0"/>
              <w:rPr>
                <w:sz w:val="20"/>
                <w:szCs w:val="20"/>
                <w:color w:val="auto"/>
              </w:rPr>
            </w:pPr>
            <w:r>
              <w:rPr>
                <w:rFonts w:ascii="Arial" w:cs="Arial" w:eastAsia="Arial" w:hAnsi="Arial"/>
                <w:sz w:val="16"/>
                <w:szCs w:val="16"/>
                <w:color w:val="auto"/>
              </w:rPr>
              <w:t>12</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2.07  Standard for Services.</w:t>
            </w:r>
          </w:p>
        </w:tc>
        <w:tc>
          <w:tcPr>
            <w:tcW w:w="2680" w:type="dxa"/>
            <w:vAlign w:val="bottom"/>
          </w:tcPr>
          <w:p>
            <w:pPr>
              <w:ind w:left="2060"/>
              <w:spacing w:after="0"/>
              <w:rPr>
                <w:sz w:val="20"/>
                <w:szCs w:val="20"/>
                <w:color w:val="auto"/>
              </w:rPr>
            </w:pPr>
            <w:r>
              <w:rPr>
                <w:rFonts w:ascii="Arial" w:cs="Arial" w:eastAsia="Arial" w:hAnsi="Arial"/>
                <w:sz w:val="16"/>
                <w:szCs w:val="16"/>
                <w:color w:val="auto"/>
              </w:rPr>
              <w:t>12</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2.08</w:t>
            </w:r>
          </w:p>
        </w:tc>
        <w:tc>
          <w:tcPr>
            <w:tcW w:w="7440" w:type="dxa"/>
            <w:vAlign w:val="bottom"/>
          </w:tcPr>
          <w:p>
            <w:pPr>
              <w:ind w:left="80"/>
              <w:spacing w:after="0"/>
              <w:rPr>
                <w:sz w:val="20"/>
                <w:szCs w:val="20"/>
                <w:color w:val="auto"/>
              </w:rPr>
            </w:pPr>
            <w:r>
              <w:rPr>
                <w:rFonts w:ascii="Arial" w:cs="Arial" w:eastAsia="Arial" w:hAnsi="Arial"/>
                <w:sz w:val="16"/>
                <w:szCs w:val="16"/>
                <w:color w:val="auto"/>
              </w:rPr>
              <w:t>Insurance.</w:t>
            </w:r>
          </w:p>
        </w:tc>
        <w:tc>
          <w:tcPr>
            <w:tcW w:w="2680" w:type="dxa"/>
            <w:vAlign w:val="bottom"/>
          </w:tcPr>
          <w:p>
            <w:pPr>
              <w:ind w:left="2060"/>
              <w:spacing w:after="0"/>
              <w:rPr>
                <w:sz w:val="20"/>
                <w:szCs w:val="20"/>
                <w:color w:val="auto"/>
              </w:rPr>
            </w:pPr>
            <w:r>
              <w:rPr>
                <w:rFonts w:ascii="Arial" w:cs="Arial" w:eastAsia="Arial" w:hAnsi="Arial"/>
                <w:sz w:val="16"/>
                <w:szCs w:val="16"/>
                <w:color w:val="auto"/>
              </w:rPr>
              <w:t>12</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III OTHER ARRANGEMENTS</w:t>
            </w:r>
          </w:p>
        </w:tc>
        <w:tc>
          <w:tcPr>
            <w:tcW w:w="2680" w:type="dxa"/>
            <w:vAlign w:val="bottom"/>
          </w:tcPr>
          <w:p>
            <w:pPr>
              <w:ind w:left="2060"/>
              <w:spacing w:after="0"/>
              <w:rPr>
                <w:sz w:val="20"/>
                <w:szCs w:val="20"/>
                <w:color w:val="auto"/>
              </w:rPr>
            </w:pPr>
            <w:r>
              <w:rPr>
                <w:rFonts w:ascii="Arial" w:cs="Arial" w:eastAsia="Arial" w:hAnsi="Arial"/>
                <w:sz w:val="16"/>
                <w:szCs w:val="16"/>
                <w:color w:val="auto"/>
              </w:rPr>
              <w:t>12</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3.01</w:t>
            </w:r>
          </w:p>
        </w:tc>
        <w:tc>
          <w:tcPr>
            <w:tcW w:w="7440" w:type="dxa"/>
            <w:vAlign w:val="bottom"/>
          </w:tcPr>
          <w:p>
            <w:pPr>
              <w:ind w:left="80"/>
              <w:spacing w:after="0"/>
              <w:rPr>
                <w:sz w:val="20"/>
                <w:szCs w:val="20"/>
                <w:color w:val="auto"/>
              </w:rPr>
            </w:pPr>
            <w:r>
              <w:rPr>
                <w:rFonts w:ascii="Arial" w:cs="Arial" w:eastAsia="Arial" w:hAnsi="Arial"/>
                <w:sz w:val="16"/>
                <w:szCs w:val="16"/>
                <w:color w:val="auto"/>
              </w:rPr>
              <w:t>Vendor Agreements.</w:t>
            </w:r>
          </w:p>
        </w:tc>
        <w:tc>
          <w:tcPr>
            <w:tcW w:w="2680" w:type="dxa"/>
            <w:vAlign w:val="bottom"/>
          </w:tcPr>
          <w:p>
            <w:pPr>
              <w:ind w:left="2060"/>
              <w:spacing w:after="0"/>
              <w:rPr>
                <w:sz w:val="20"/>
                <w:szCs w:val="20"/>
                <w:color w:val="auto"/>
              </w:rPr>
            </w:pPr>
            <w:r>
              <w:rPr>
                <w:rFonts w:ascii="Arial" w:cs="Arial" w:eastAsia="Arial" w:hAnsi="Arial"/>
                <w:sz w:val="16"/>
                <w:szCs w:val="16"/>
                <w:color w:val="auto"/>
              </w:rPr>
              <w:t>12</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3.02  Termination of Agreements.</w:t>
            </w:r>
          </w:p>
        </w:tc>
        <w:tc>
          <w:tcPr>
            <w:tcW w:w="2680" w:type="dxa"/>
            <w:vAlign w:val="bottom"/>
          </w:tcPr>
          <w:p>
            <w:pPr>
              <w:ind w:left="2060"/>
              <w:spacing w:after="0"/>
              <w:rPr>
                <w:sz w:val="20"/>
                <w:szCs w:val="20"/>
                <w:color w:val="auto"/>
              </w:rPr>
            </w:pPr>
            <w:r>
              <w:rPr>
                <w:rFonts w:ascii="Arial" w:cs="Arial" w:eastAsia="Arial" w:hAnsi="Arial"/>
                <w:sz w:val="16"/>
                <w:szCs w:val="16"/>
                <w:color w:val="auto"/>
              </w:rPr>
              <w:t>15</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IV ADDITIONAL AGREEMENTS</w:t>
            </w:r>
          </w:p>
        </w:tc>
        <w:tc>
          <w:tcPr>
            <w:tcW w:w="2680" w:type="dxa"/>
            <w:vAlign w:val="bottom"/>
          </w:tcPr>
          <w:p>
            <w:pPr>
              <w:ind w:left="2060"/>
              <w:spacing w:after="0"/>
              <w:rPr>
                <w:sz w:val="20"/>
                <w:szCs w:val="20"/>
                <w:color w:val="auto"/>
              </w:rPr>
            </w:pPr>
            <w:r>
              <w:rPr>
                <w:rFonts w:ascii="Arial" w:cs="Arial" w:eastAsia="Arial" w:hAnsi="Arial"/>
                <w:sz w:val="16"/>
                <w:szCs w:val="16"/>
                <w:color w:val="auto"/>
              </w:rPr>
              <w:t>16</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4.01</w:t>
            </w:r>
          </w:p>
        </w:tc>
        <w:tc>
          <w:tcPr>
            <w:tcW w:w="7440" w:type="dxa"/>
            <w:vAlign w:val="bottom"/>
          </w:tcPr>
          <w:p>
            <w:pPr>
              <w:ind w:left="80"/>
              <w:spacing w:after="0"/>
              <w:rPr>
                <w:sz w:val="20"/>
                <w:szCs w:val="20"/>
                <w:color w:val="auto"/>
              </w:rPr>
            </w:pPr>
            <w:r>
              <w:rPr>
                <w:rFonts w:ascii="Arial" w:cs="Arial" w:eastAsia="Arial" w:hAnsi="Arial"/>
                <w:sz w:val="16"/>
                <w:szCs w:val="16"/>
                <w:color w:val="auto"/>
              </w:rPr>
              <w:t>Consents.</w:t>
            </w:r>
          </w:p>
        </w:tc>
        <w:tc>
          <w:tcPr>
            <w:tcW w:w="2680" w:type="dxa"/>
            <w:vAlign w:val="bottom"/>
          </w:tcPr>
          <w:p>
            <w:pPr>
              <w:ind w:left="2060"/>
              <w:spacing w:after="0"/>
              <w:rPr>
                <w:sz w:val="20"/>
                <w:szCs w:val="20"/>
                <w:color w:val="auto"/>
              </w:rPr>
            </w:pPr>
            <w:r>
              <w:rPr>
                <w:rFonts w:ascii="Arial" w:cs="Arial" w:eastAsia="Arial" w:hAnsi="Arial"/>
                <w:sz w:val="16"/>
                <w:szCs w:val="16"/>
                <w:color w:val="auto"/>
              </w:rPr>
              <w:t>16</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4.02</w:t>
            </w:r>
          </w:p>
        </w:tc>
        <w:tc>
          <w:tcPr>
            <w:tcW w:w="7440" w:type="dxa"/>
            <w:vAlign w:val="bottom"/>
          </w:tcPr>
          <w:p>
            <w:pPr>
              <w:ind w:left="80"/>
              <w:spacing w:after="0"/>
              <w:rPr>
                <w:sz w:val="20"/>
                <w:szCs w:val="20"/>
                <w:color w:val="auto"/>
              </w:rPr>
            </w:pPr>
            <w:r>
              <w:rPr>
                <w:rFonts w:ascii="Arial" w:cs="Arial" w:eastAsia="Arial" w:hAnsi="Arial"/>
                <w:sz w:val="16"/>
                <w:szCs w:val="16"/>
                <w:color w:val="auto"/>
              </w:rPr>
              <w:t>Access.</w:t>
            </w:r>
          </w:p>
        </w:tc>
        <w:tc>
          <w:tcPr>
            <w:tcW w:w="2680" w:type="dxa"/>
            <w:vAlign w:val="bottom"/>
          </w:tcPr>
          <w:p>
            <w:pPr>
              <w:ind w:left="2060"/>
              <w:spacing w:after="0"/>
              <w:rPr>
                <w:sz w:val="20"/>
                <w:szCs w:val="20"/>
                <w:color w:val="auto"/>
              </w:rPr>
            </w:pPr>
            <w:r>
              <w:rPr>
                <w:rFonts w:ascii="Arial" w:cs="Arial" w:eastAsia="Arial" w:hAnsi="Arial"/>
                <w:sz w:val="16"/>
                <w:szCs w:val="16"/>
                <w:color w:val="auto"/>
              </w:rPr>
              <w:t>16</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V COSTS AND DISBURSEMENTS; PAYMENTS</w:t>
            </w:r>
          </w:p>
        </w:tc>
        <w:tc>
          <w:tcPr>
            <w:tcW w:w="2680" w:type="dxa"/>
            <w:vAlign w:val="bottom"/>
          </w:tcPr>
          <w:p>
            <w:pPr>
              <w:ind w:left="2060"/>
              <w:spacing w:after="0"/>
              <w:rPr>
                <w:sz w:val="20"/>
                <w:szCs w:val="20"/>
                <w:color w:val="auto"/>
              </w:rPr>
            </w:pPr>
            <w:r>
              <w:rPr>
                <w:rFonts w:ascii="Arial" w:cs="Arial" w:eastAsia="Arial" w:hAnsi="Arial"/>
                <w:sz w:val="16"/>
                <w:szCs w:val="16"/>
                <w:color w:val="auto"/>
              </w:rPr>
              <w:t>17</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5.01  Calculation and Adjustment of Service Charges</w:t>
            </w:r>
          </w:p>
        </w:tc>
        <w:tc>
          <w:tcPr>
            <w:tcW w:w="2680" w:type="dxa"/>
            <w:vAlign w:val="bottom"/>
          </w:tcPr>
          <w:p>
            <w:pPr>
              <w:ind w:left="2060"/>
              <w:spacing w:after="0"/>
              <w:rPr>
                <w:sz w:val="20"/>
                <w:szCs w:val="20"/>
                <w:color w:val="auto"/>
              </w:rPr>
            </w:pPr>
            <w:r>
              <w:rPr>
                <w:rFonts w:ascii="Arial" w:cs="Arial" w:eastAsia="Arial" w:hAnsi="Arial"/>
                <w:sz w:val="16"/>
                <w:szCs w:val="16"/>
                <w:color w:val="auto"/>
              </w:rPr>
              <w:t>17</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5.02  Invoicing and Payment.</w:t>
            </w:r>
          </w:p>
        </w:tc>
        <w:tc>
          <w:tcPr>
            <w:tcW w:w="2680" w:type="dxa"/>
            <w:vAlign w:val="bottom"/>
          </w:tcPr>
          <w:p>
            <w:pPr>
              <w:ind w:left="2060"/>
              <w:spacing w:after="0"/>
              <w:rPr>
                <w:sz w:val="20"/>
                <w:szCs w:val="20"/>
                <w:color w:val="auto"/>
              </w:rPr>
            </w:pPr>
            <w:r>
              <w:rPr>
                <w:rFonts w:ascii="Arial" w:cs="Arial" w:eastAsia="Arial" w:hAnsi="Arial"/>
                <w:sz w:val="16"/>
                <w:szCs w:val="16"/>
                <w:color w:val="auto"/>
              </w:rPr>
              <w:t>18</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5.03</w:t>
            </w:r>
          </w:p>
        </w:tc>
        <w:tc>
          <w:tcPr>
            <w:tcW w:w="7440" w:type="dxa"/>
            <w:vAlign w:val="bottom"/>
          </w:tcPr>
          <w:p>
            <w:pPr>
              <w:ind w:left="80"/>
              <w:spacing w:after="0"/>
              <w:rPr>
                <w:sz w:val="20"/>
                <w:szCs w:val="20"/>
                <w:color w:val="auto"/>
              </w:rPr>
            </w:pPr>
            <w:r>
              <w:rPr>
                <w:rFonts w:ascii="Arial" w:cs="Arial" w:eastAsia="Arial" w:hAnsi="Arial"/>
                <w:sz w:val="16"/>
                <w:szCs w:val="16"/>
                <w:color w:val="auto"/>
              </w:rPr>
              <w:t>Transfer Pricing.</w:t>
            </w:r>
          </w:p>
        </w:tc>
        <w:tc>
          <w:tcPr>
            <w:tcW w:w="2680" w:type="dxa"/>
            <w:vAlign w:val="bottom"/>
          </w:tcPr>
          <w:p>
            <w:pPr>
              <w:ind w:left="2060"/>
              <w:spacing w:after="0"/>
              <w:rPr>
                <w:sz w:val="20"/>
                <w:szCs w:val="20"/>
                <w:color w:val="auto"/>
              </w:rPr>
            </w:pPr>
            <w:r>
              <w:rPr>
                <w:rFonts w:ascii="Arial" w:cs="Arial" w:eastAsia="Arial" w:hAnsi="Arial"/>
                <w:sz w:val="16"/>
                <w:szCs w:val="16"/>
                <w:color w:val="auto"/>
              </w:rPr>
              <w:t>18</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VI GENERAL COVENANTS; REPRESENTATIONS AND WARRANTIES</w:t>
            </w:r>
          </w:p>
        </w:tc>
        <w:tc>
          <w:tcPr>
            <w:tcW w:w="2680" w:type="dxa"/>
            <w:vAlign w:val="bottom"/>
          </w:tcPr>
          <w:p>
            <w:pPr>
              <w:ind w:left="2060"/>
              <w:spacing w:after="0"/>
              <w:rPr>
                <w:sz w:val="20"/>
                <w:szCs w:val="20"/>
                <w:color w:val="auto"/>
              </w:rPr>
            </w:pPr>
            <w:r>
              <w:rPr>
                <w:rFonts w:ascii="Arial" w:cs="Arial" w:eastAsia="Arial" w:hAnsi="Arial"/>
                <w:sz w:val="16"/>
                <w:szCs w:val="16"/>
                <w:color w:val="auto"/>
              </w:rPr>
              <w:t>18</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6.01  Compliance with Laws.</w:t>
            </w:r>
          </w:p>
        </w:tc>
        <w:tc>
          <w:tcPr>
            <w:tcW w:w="2680" w:type="dxa"/>
            <w:vAlign w:val="bottom"/>
          </w:tcPr>
          <w:p>
            <w:pPr>
              <w:ind w:left="2060"/>
              <w:spacing w:after="0"/>
              <w:rPr>
                <w:sz w:val="20"/>
                <w:szCs w:val="20"/>
                <w:color w:val="auto"/>
              </w:rPr>
            </w:pPr>
            <w:r>
              <w:rPr>
                <w:rFonts w:ascii="Arial" w:cs="Arial" w:eastAsia="Arial" w:hAnsi="Arial"/>
                <w:sz w:val="16"/>
                <w:szCs w:val="16"/>
                <w:color w:val="auto"/>
              </w:rPr>
              <w:t>18</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6.02  No Representations and Warranties.</w:t>
            </w:r>
          </w:p>
        </w:tc>
        <w:tc>
          <w:tcPr>
            <w:tcW w:w="2680" w:type="dxa"/>
            <w:vAlign w:val="bottom"/>
          </w:tcPr>
          <w:p>
            <w:pPr>
              <w:ind w:left="2060"/>
              <w:spacing w:after="0"/>
              <w:rPr>
                <w:sz w:val="20"/>
                <w:szCs w:val="20"/>
                <w:color w:val="auto"/>
              </w:rPr>
            </w:pPr>
            <w:r>
              <w:rPr>
                <w:rFonts w:ascii="Arial" w:cs="Arial" w:eastAsia="Arial" w:hAnsi="Arial"/>
                <w:sz w:val="16"/>
                <w:szCs w:val="16"/>
                <w:color w:val="auto"/>
              </w:rPr>
              <w:t>19</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VII INDEMNIFICATION REGARDING SERVICES; LIMITATION ON LIABILITY</w:t>
            </w:r>
          </w:p>
        </w:tc>
        <w:tc>
          <w:tcPr>
            <w:tcW w:w="2680" w:type="dxa"/>
            <w:vAlign w:val="bottom"/>
          </w:tcPr>
          <w:p>
            <w:pPr>
              <w:ind w:left="2060"/>
              <w:spacing w:after="0"/>
              <w:rPr>
                <w:sz w:val="20"/>
                <w:szCs w:val="20"/>
                <w:color w:val="auto"/>
              </w:rPr>
            </w:pPr>
            <w:r>
              <w:rPr>
                <w:rFonts w:ascii="Arial" w:cs="Arial" w:eastAsia="Arial" w:hAnsi="Arial"/>
                <w:sz w:val="16"/>
                <w:szCs w:val="16"/>
                <w:color w:val="auto"/>
              </w:rPr>
              <w:t>19</w:t>
            </w:r>
          </w:p>
        </w:tc>
      </w:tr>
      <w:tr>
        <w:trPr>
          <w:trHeight w:val="229"/>
        </w:trPr>
        <w:tc>
          <w:tcPr>
            <w:tcW w:w="1100" w:type="dxa"/>
            <w:vAlign w:val="bottom"/>
          </w:tcPr>
          <w:p>
            <w:pPr>
              <w:spacing w:after="0"/>
              <w:rPr>
                <w:sz w:val="20"/>
                <w:szCs w:val="20"/>
                <w:color w:val="auto"/>
              </w:rPr>
            </w:pPr>
            <w:r>
              <w:rPr>
                <w:rFonts w:ascii="Arial" w:cs="Arial" w:eastAsia="Arial" w:hAnsi="Arial"/>
                <w:sz w:val="16"/>
                <w:szCs w:val="16"/>
                <w:color w:val="auto"/>
              </w:rPr>
              <w:t>SECTION 7.01</w:t>
            </w:r>
          </w:p>
        </w:tc>
        <w:tc>
          <w:tcPr>
            <w:tcW w:w="7440" w:type="dxa"/>
            <w:vAlign w:val="bottom"/>
          </w:tcPr>
          <w:p>
            <w:pPr>
              <w:spacing w:after="0"/>
              <w:rPr>
                <w:sz w:val="19"/>
                <w:szCs w:val="19"/>
                <w:color w:val="auto"/>
              </w:rPr>
            </w:pPr>
          </w:p>
        </w:tc>
        <w:tc>
          <w:tcPr>
            <w:tcW w:w="2680" w:type="dxa"/>
            <w:vAlign w:val="bottom"/>
          </w:tcPr>
          <w:p>
            <w:pPr>
              <w:ind w:left="2060"/>
              <w:spacing w:after="0"/>
              <w:rPr>
                <w:sz w:val="20"/>
                <w:szCs w:val="20"/>
                <w:color w:val="auto"/>
              </w:rPr>
            </w:pPr>
            <w:r>
              <w:rPr>
                <w:rFonts w:ascii="Arial" w:cs="Arial" w:eastAsia="Arial" w:hAnsi="Arial"/>
                <w:sz w:val="16"/>
                <w:szCs w:val="16"/>
                <w:color w:val="auto"/>
              </w:rPr>
              <w:t>19</w:t>
            </w:r>
          </w:p>
        </w:tc>
      </w:tr>
      <w:tr>
        <w:trPr>
          <w:trHeight w:val="246"/>
        </w:trPr>
        <w:tc>
          <w:tcPr>
            <w:tcW w:w="1100" w:type="dxa"/>
            <w:vAlign w:val="bottom"/>
          </w:tcPr>
          <w:p>
            <w:pPr>
              <w:spacing w:after="0"/>
              <w:rPr>
                <w:sz w:val="20"/>
                <w:szCs w:val="20"/>
                <w:color w:val="auto"/>
              </w:rPr>
            </w:pPr>
            <w:r>
              <w:rPr>
                <w:rFonts w:ascii="Arial" w:cs="Arial" w:eastAsia="Arial" w:hAnsi="Arial"/>
                <w:sz w:val="16"/>
                <w:szCs w:val="16"/>
                <w:color w:val="auto"/>
              </w:rPr>
              <w:t>SECTION 7.02</w:t>
            </w:r>
          </w:p>
        </w:tc>
        <w:tc>
          <w:tcPr>
            <w:tcW w:w="7440" w:type="dxa"/>
            <w:vAlign w:val="bottom"/>
          </w:tcPr>
          <w:p>
            <w:pPr>
              <w:spacing w:after="0"/>
              <w:rPr>
                <w:sz w:val="21"/>
                <w:szCs w:val="21"/>
                <w:color w:val="auto"/>
              </w:rPr>
            </w:pPr>
          </w:p>
        </w:tc>
        <w:tc>
          <w:tcPr>
            <w:tcW w:w="2680" w:type="dxa"/>
            <w:vAlign w:val="bottom"/>
          </w:tcPr>
          <w:p>
            <w:pPr>
              <w:ind w:left="2060"/>
              <w:spacing w:after="0"/>
              <w:rPr>
                <w:sz w:val="20"/>
                <w:szCs w:val="20"/>
                <w:color w:val="auto"/>
              </w:rPr>
            </w:pPr>
            <w:r>
              <w:rPr>
                <w:rFonts w:ascii="Arial" w:cs="Arial" w:eastAsia="Arial" w:hAnsi="Arial"/>
                <w:sz w:val="16"/>
                <w:szCs w:val="16"/>
                <w:color w:val="auto"/>
              </w:rPr>
              <w:t>19</w:t>
            </w:r>
          </w:p>
        </w:tc>
      </w:tr>
      <w:tr>
        <w:trPr>
          <w:trHeight w:val="246"/>
        </w:trPr>
        <w:tc>
          <w:tcPr>
            <w:tcW w:w="1100" w:type="dxa"/>
            <w:vAlign w:val="bottom"/>
          </w:tcPr>
          <w:p>
            <w:pPr>
              <w:spacing w:after="0"/>
              <w:rPr>
                <w:sz w:val="20"/>
                <w:szCs w:val="20"/>
                <w:color w:val="auto"/>
              </w:rPr>
            </w:pPr>
            <w:r>
              <w:rPr>
                <w:rFonts w:ascii="Arial" w:cs="Arial" w:eastAsia="Arial" w:hAnsi="Arial"/>
                <w:sz w:val="16"/>
                <w:szCs w:val="16"/>
                <w:color w:val="auto"/>
              </w:rPr>
              <w:t>SECTION 7.03</w:t>
            </w:r>
          </w:p>
        </w:tc>
        <w:tc>
          <w:tcPr>
            <w:tcW w:w="7440" w:type="dxa"/>
            <w:vAlign w:val="bottom"/>
          </w:tcPr>
          <w:p>
            <w:pPr>
              <w:spacing w:after="0"/>
              <w:rPr>
                <w:sz w:val="21"/>
                <w:szCs w:val="21"/>
                <w:color w:val="auto"/>
              </w:rPr>
            </w:pPr>
          </w:p>
        </w:tc>
        <w:tc>
          <w:tcPr>
            <w:tcW w:w="2680" w:type="dxa"/>
            <w:vAlign w:val="bottom"/>
          </w:tcPr>
          <w:p>
            <w:pPr>
              <w:ind w:left="2060"/>
              <w:spacing w:after="0"/>
              <w:rPr>
                <w:sz w:val="20"/>
                <w:szCs w:val="20"/>
                <w:color w:val="auto"/>
              </w:rPr>
            </w:pPr>
            <w:r>
              <w:rPr>
                <w:rFonts w:ascii="Arial" w:cs="Arial" w:eastAsia="Arial" w:hAnsi="Arial"/>
                <w:sz w:val="16"/>
                <w:szCs w:val="16"/>
                <w:color w:val="auto"/>
              </w:rPr>
              <w:t>19</w:t>
            </w:r>
          </w:p>
        </w:tc>
      </w:tr>
      <w:tr>
        <w:trPr>
          <w:trHeight w:val="246"/>
        </w:trPr>
        <w:tc>
          <w:tcPr>
            <w:tcW w:w="1100" w:type="dxa"/>
            <w:vAlign w:val="bottom"/>
          </w:tcPr>
          <w:p>
            <w:pPr>
              <w:spacing w:after="0"/>
              <w:rPr>
                <w:sz w:val="20"/>
                <w:szCs w:val="20"/>
                <w:color w:val="auto"/>
              </w:rPr>
            </w:pPr>
            <w:r>
              <w:rPr>
                <w:rFonts w:ascii="Arial" w:cs="Arial" w:eastAsia="Arial" w:hAnsi="Arial"/>
                <w:sz w:val="16"/>
                <w:szCs w:val="16"/>
                <w:color w:val="auto"/>
              </w:rPr>
              <w:t>SECTION 7.04</w:t>
            </w:r>
          </w:p>
        </w:tc>
        <w:tc>
          <w:tcPr>
            <w:tcW w:w="7440" w:type="dxa"/>
            <w:vAlign w:val="bottom"/>
          </w:tcPr>
          <w:p>
            <w:pPr>
              <w:spacing w:after="0"/>
              <w:rPr>
                <w:sz w:val="21"/>
                <w:szCs w:val="21"/>
                <w:color w:val="auto"/>
              </w:rPr>
            </w:pPr>
          </w:p>
        </w:tc>
        <w:tc>
          <w:tcPr>
            <w:tcW w:w="2680" w:type="dxa"/>
            <w:vAlign w:val="bottom"/>
          </w:tcPr>
          <w:p>
            <w:pPr>
              <w:ind w:left="2060"/>
              <w:spacing w:after="0"/>
              <w:rPr>
                <w:sz w:val="20"/>
                <w:szCs w:val="20"/>
                <w:color w:val="auto"/>
              </w:rPr>
            </w:pPr>
            <w:r>
              <w:rPr>
                <w:rFonts w:ascii="Arial" w:cs="Arial" w:eastAsia="Arial" w:hAnsi="Arial"/>
                <w:sz w:val="16"/>
                <w:szCs w:val="16"/>
                <w:color w:val="auto"/>
              </w:rPr>
              <w:t>20</w:t>
            </w:r>
          </w:p>
        </w:tc>
      </w:tr>
      <w:tr>
        <w:trPr>
          <w:trHeight w:val="246"/>
        </w:trPr>
        <w:tc>
          <w:tcPr>
            <w:tcW w:w="1100" w:type="dxa"/>
            <w:vAlign w:val="bottom"/>
          </w:tcPr>
          <w:p>
            <w:pPr>
              <w:spacing w:after="0"/>
              <w:rPr>
                <w:sz w:val="20"/>
                <w:szCs w:val="20"/>
                <w:color w:val="auto"/>
              </w:rPr>
            </w:pPr>
            <w:r>
              <w:rPr>
                <w:rFonts w:ascii="Arial" w:cs="Arial" w:eastAsia="Arial" w:hAnsi="Arial"/>
                <w:sz w:val="16"/>
                <w:szCs w:val="16"/>
                <w:color w:val="auto"/>
              </w:rPr>
              <w:t>SECTION 7.05</w:t>
            </w:r>
          </w:p>
        </w:tc>
        <w:tc>
          <w:tcPr>
            <w:tcW w:w="7440" w:type="dxa"/>
            <w:vAlign w:val="bottom"/>
          </w:tcPr>
          <w:p>
            <w:pPr>
              <w:spacing w:after="0"/>
              <w:rPr>
                <w:sz w:val="21"/>
                <w:szCs w:val="21"/>
                <w:color w:val="auto"/>
              </w:rPr>
            </w:pPr>
          </w:p>
        </w:tc>
        <w:tc>
          <w:tcPr>
            <w:tcW w:w="2680" w:type="dxa"/>
            <w:vAlign w:val="bottom"/>
          </w:tcPr>
          <w:p>
            <w:pPr>
              <w:ind w:left="2060"/>
              <w:spacing w:after="0"/>
              <w:rPr>
                <w:sz w:val="20"/>
                <w:szCs w:val="20"/>
                <w:color w:val="auto"/>
              </w:rPr>
            </w:pPr>
            <w:r>
              <w:rPr>
                <w:rFonts w:ascii="Arial" w:cs="Arial" w:eastAsia="Arial" w:hAnsi="Arial"/>
                <w:sz w:val="16"/>
                <w:szCs w:val="16"/>
                <w:color w:val="auto"/>
              </w:rPr>
              <w:t>20</w:t>
            </w:r>
          </w:p>
        </w:tc>
      </w:tr>
      <w:tr>
        <w:trPr>
          <w:trHeight w:val="223"/>
        </w:trPr>
        <w:tc>
          <w:tcPr>
            <w:tcW w:w="8540" w:type="dxa"/>
            <w:vAlign w:val="bottom"/>
            <w:gridSpan w:val="2"/>
          </w:tcPr>
          <w:p>
            <w:pPr>
              <w:spacing w:after="0"/>
              <w:rPr>
                <w:sz w:val="20"/>
                <w:szCs w:val="20"/>
                <w:color w:val="auto"/>
              </w:rPr>
            </w:pPr>
            <w:r>
              <w:rPr>
                <w:rFonts w:ascii="Arial" w:cs="Arial" w:eastAsia="Arial" w:hAnsi="Arial"/>
                <w:sz w:val="16"/>
                <w:szCs w:val="16"/>
                <w:color w:val="auto"/>
              </w:rPr>
              <w:t>SECTION 7.06  Indemnification of Each Recipient.</w:t>
            </w:r>
          </w:p>
        </w:tc>
        <w:tc>
          <w:tcPr>
            <w:tcW w:w="2680" w:type="dxa"/>
            <w:vAlign w:val="bottom"/>
          </w:tcPr>
          <w:p>
            <w:pPr>
              <w:ind w:left="2060"/>
              <w:spacing w:after="0"/>
              <w:rPr>
                <w:sz w:val="20"/>
                <w:szCs w:val="20"/>
                <w:color w:val="auto"/>
              </w:rPr>
            </w:pPr>
            <w:r>
              <w:rPr>
                <w:rFonts w:ascii="Arial" w:cs="Arial" w:eastAsia="Arial" w:hAnsi="Arial"/>
                <w:sz w:val="16"/>
                <w:szCs w:val="16"/>
                <w:color w:val="auto"/>
              </w:rPr>
              <w:t>20</w:t>
            </w:r>
          </w:p>
        </w:tc>
      </w:tr>
      <w:tr>
        <w:trPr>
          <w:trHeight w:val="205"/>
        </w:trPr>
        <w:tc>
          <w:tcPr>
            <w:tcW w:w="1100" w:type="dxa"/>
            <w:vAlign w:val="bottom"/>
          </w:tcPr>
          <w:p>
            <w:pPr>
              <w:spacing w:after="0"/>
              <w:rPr>
                <w:sz w:val="20"/>
                <w:szCs w:val="20"/>
                <w:color w:val="auto"/>
              </w:rPr>
            </w:pPr>
            <w:r>
              <w:rPr>
                <w:rFonts w:ascii="Arial" w:cs="Arial" w:eastAsia="Arial" w:hAnsi="Arial"/>
                <w:sz w:val="16"/>
                <w:szCs w:val="16"/>
                <w:color w:val="auto"/>
              </w:rPr>
              <w:t>SECTION 7.07</w:t>
            </w:r>
          </w:p>
        </w:tc>
        <w:tc>
          <w:tcPr>
            <w:tcW w:w="7440" w:type="dxa"/>
            <w:vAlign w:val="bottom"/>
          </w:tcPr>
          <w:p>
            <w:pPr>
              <w:ind w:left="80"/>
              <w:spacing w:after="0"/>
              <w:rPr>
                <w:sz w:val="20"/>
                <w:szCs w:val="20"/>
                <w:color w:val="auto"/>
              </w:rPr>
            </w:pPr>
            <w:r>
              <w:rPr>
                <w:rFonts w:ascii="Arial" w:cs="Arial" w:eastAsia="Arial" w:hAnsi="Arial"/>
                <w:sz w:val="16"/>
                <w:szCs w:val="16"/>
                <w:color w:val="auto"/>
              </w:rPr>
              <w:t>Indemnification Procedures.</w:t>
            </w:r>
          </w:p>
        </w:tc>
        <w:tc>
          <w:tcPr>
            <w:tcW w:w="2680" w:type="dxa"/>
            <w:vAlign w:val="bottom"/>
          </w:tcPr>
          <w:p>
            <w:pPr>
              <w:ind w:left="2060"/>
              <w:spacing w:after="0"/>
              <w:rPr>
                <w:sz w:val="20"/>
                <w:szCs w:val="20"/>
                <w:color w:val="auto"/>
              </w:rPr>
            </w:pPr>
            <w:r>
              <w:rPr>
                <w:rFonts w:ascii="Arial" w:cs="Arial" w:eastAsia="Arial" w:hAnsi="Arial"/>
                <w:sz w:val="16"/>
                <w:szCs w:val="16"/>
                <w:color w:val="auto"/>
              </w:rPr>
              <w:t>20</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7.08  Liability for Payment Obligations.</w:t>
            </w:r>
          </w:p>
        </w:tc>
        <w:tc>
          <w:tcPr>
            <w:tcW w:w="2680" w:type="dxa"/>
            <w:vAlign w:val="bottom"/>
          </w:tcPr>
          <w:p>
            <w:pPr>
              <w:ind w:left="2060"/>
              <w:spacing w:after="0"/>
              <w:rPr>
                <w:sz w:val="20"/>
                <w:szCs w:val="20"/>
                <w:color w:val="auto"/>
              </w:rPr>
            </w:pPr>
            <w:r>
              <w:rPr>
                <w:rFonts w:ascii="Arial" w:cs="Arial" w:eastAsia="Arial" w:hAnsi="Arial"/>
                <w:sz w:val="16"/>
                <w:szCs w:val="16"/>
                <w:color w:val="auto"/>
              </w:rPr>
              <w:t>21</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SECTION 7.09  Benefit of Agreement.</w:t>
            </w:r>
          </w:p>
        </w:tc>
        <w:tc>
          <w:tcPr>
            <w:tcW w:w="2680" w:type="dxa"/>
            <w:vAlign w:val="bottom"/>
          </w:tcPr>
          <w:p>
            <w:pPr>
              <w:ind w:left="2060"/>
              <w:spacing w:after="0"/>
              <w:rPr>
                <w:sz w:val="20"/>
                <w:szCs w:val="20"/>
                <w:color w:val="auto"/>
              </w:rPr>
            </w:pPr>
            <w:r>
              <w:rPr>
                <w:rFonts w:ascii="Arial" w:cs="Arial" w:eastAsia="Arial" w:hAnsi="Arial"/>
                <w:sz w:val="16"/>
                <w:szCs w:val="16"/>
                <w:color w:val="auto"/>
              </w:rPr>
              <w:t>21</w:t>
            </w:r>
          </w:p>
        </w:tc>
      </w:tr>
      <w:tr>
        <w:trPr>
          <w:trHeight w:val="205"/>
        </w:trPr>
        <w:tc>
          <w:tcPr>
            <w:tcW w:w="8540" w:type="dxa"/>
            <w:vAlign w:val="bottom"/>
            <w:gridSpan w:val="2"/>
          </w:tcPr>
          <w:p>
            <w:pPr>
              <w:spacing w:after="0"/>
              <w:rPr>
                <w:sz w:val="20"/>
                <w:szCs w:val="20"/>
                <w:color w:val="auto"/>
              </w:rPr>
            </w:pPr>
            <w:r>
              <w:rPr>
                <w:rFonts w:ascii="Arial" w:cs="Arial" w:eastAsia="Arial" w:hAnsi="Arial"/>
                <w:sz w:val="16"/>
                <w:szCs w:val="16"/>
                <w:color w:val="auto"/>
              </w:rPr>
              <w:t>Article VIII DISPUTE RESOLUTION</w:t>
            </w:r>
          </w:p>
        </w:tc>
        <w:tc>
          <w:tcPr>
            <w:tcW w:w="2680" w:type="dxa"/>
            <w:vAlign w:val="bottom"/>
          </w:tcPr>
          <w:p>
            <w:pPr>
              <w:ind w:left="2060"/>
              <w:spacing w:after="0"/>
              <w:rPr>
                <w:sz w:val="20"/>
                <w:szCs w:val="20"/>
                <w:color w:val="auto"/>
              </w:rPr>
            </w:pPr>
            <w:r>
              <w:rPr>
                <w:rFonts w:ascii="Arial" w:cs="Arial" w:eastAsia="Arial" w:hAnsi="Arial"/>
                <w:sz w:val="16"/>
                <w:szCs w:val="16"/>
                <w:color w:val="auto"/>
              </w:rPr>
              <w:t>22</w:t>
            </w:r>
          </w:p>
        </w:tc>
      </w:tr>
      <w:tr>
        <w:trPr>
          <w:trHeight w:val="208"/>
        </w:trPr>
        <w:tc>
          <w:tcPr>
            <w:tcW w:w="1100" w:type="dxa"/>
            <w:vAlign w:val="bottom"/>
          </w:tcPr>
          <w:p>
            <w:pPr>
              <w:spacing w:after="0"/>
              <w:rPr>
                <w:sz w:val="20"/>
                <w:szCs w:val="20"/>
                <w:color w:val="auto"/>
              </w:rPr>
            </w:pPr>
            <w:r>
              <w:rPr>
                <w:rFonts w:ascii="Arial" w:cs="Arial" w:eastAsia="Arial" w:hAnsi="Arial"/>
                <w:sz w:val="16"/>
                <w:szCs w:val="16"/>
                <w:color w:val="auto"/>
              </w:rPr>
              <w:t>SECTION 8.01</w:t>
            </w:r>
          </w:p>
        </w:tc>
        <w:tc>
          <w:tcPr>
            <w:tcW w:w="7440" w:type="dxa"/>
            <w:vAlign w:val="bottom"/>
          </w:tcPr>
          <w:p>
            <w:pPr>
              <w:ind w:left="80"/>
              <w:spacing w:after="0"/>
              <w:rPr>
                <w:sz w:val="20"/>
                <w:szCs w:val="20"/>
                <w:color w:val="auto"/>
              </w:rPr>
            </w:pPr>
            <w:r>
              <w:rPr>
                <w:rFonts w:ascii="Arial" w:cs="Arial" w:eastAsia="Arial" w:hAnsi="Arial"/>
                <w:sz w:val="16"/>
                <w:szCs w:val="16"/>
                <w:color w:val="auto"/>
              </w:rPr>
              <w:t>General Provisions.</w:t>
            </w:r>
          </w:p>
        </w:tc>
        <w:tc>
          <w:tcPr>
            <w:tcW w:w="2680" w:type="dxa"/>
            <w:vAlign w:val="bottom"/>
          </w:tcPr>
          <w:p>
            <w:pPr>
              <w:ind w:left="2060"/>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220"/>
          </w:cols>
          <w:pgMar w:left="360" w:top="1094" w:right="31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9"/>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8.02  Consideration by Senior Executives.</w:t>
            </w:r>
          </w:p>
        </w:tc>
        <w:tc>
          <w:tcPr>
            <w:tcW w:w="3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1180" w:type="dxa"/>
            <w:vAlign w:val="bottom"/>
          </w:tcPr>
          <w:p>
            <w:pPr>
              <w:ind w:left="40"/>
              <w:spacing w:after="0"/>
              <w:rPr>
                <w:sz w:val="20"/>
                <w:szCs w:val="20"/>
                <w:color w:val="auto"/>
              </w:rPr>
            </w:pPr>
            <w:r>
              <w:rPr>
                <w:rFonts w:ascii="Arial" w:cs="Arial" w:eastAsia="Arial" w:hAnsi="Arial"/>
                <w:sz w:val="16"/>
                <w:szCs w:val="16"/>
                <w:color w:val="auto"/>
              </w:rPr>
              <w:t>SECTION 8.03</w:t>
            </w:r>
          </w:p>
        </w:tc>
        <w:tc>
          <w:tcPr>
            <w:tcW w:w="6200" w:type="dxa"/>
            <w:vAlign w:val="bottom"/>
          </w:tcPr>
          <w:p>
            <w:pPr>
              <w:ind w:left="40"/>
              <w:spacing w:after="0"/>
              <w:rPr>
                <w:sz w:val="20"/>
                <w:szCs w:val="20"/>
                <w:color w:val="auto"/>
              </w:rPr>
            </w:pPr>
            <w:r>
              <w:rPr>
                <w:rFonts w:ascii="Arial" w:cs="Arial" w:eastAsia="Arial" w:hAnsi="Arial"/>
                <w:sz w:val="16"/>
                <w:szCs w:val="16"/>
                <w:color w:val="auto"/>
              </w:rPr>
              <w:t>Mediation.</w:t>
            </w:r>
          </w:p>
        </w:tc>
        <w:tc>
          <w:tcPr>
            <w:tcW w:w="3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rPr>
              <w:t>SECTION 8.04</w:t>
            </w:r>
          </w:p>
        </w:tc>
        <w:tc>
          <w:tcPr>
            <w:tcW w:w="6200" w:type="dxa"/>
            <w:vAlign w:val="bottom"/>
          </w:tcPr>
          <w:p>
            <w:pPr>
              <w:ind w:left="40"/>
              <w:spacing w:after="0"/>
              <w:rPr>
                <w:sz w:val="20"/>
                <w:szCs w:val="20"/>
                <w:color w:val="auto"/>
              </w:rPr>
            </w:pPr>
            <w:r>
              <w:rPr>
                <w:rFonts w:ascii="Arial" w:cs="Arial" w:eastAsia="Arial" w:hAnsi="Arial"/>
                <w:sz w:val="16"/>
                <w:szCs w:val="16"/>
                <w:color w:val="auto"/>
              </w:rPr>
              <w:t>Arbitration.</w:t>
            </w:r>
          </w:p>
        </w:tc>
        <w:tc>
          <w:tcPr>
            <w:tcW w:w="3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Article IX TERMINATION</w:t>
            </w:r>
          </w:p>
        </w:tc>
        <w:tc>
          <w:tcPr>
            <w:tcW w:w="3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rPr>
              <w:t>SECTION 9.01</w:t>
            </w:r>
          </w:p>
        </w:tc>
        <w:tc>
          <w:tcPr>
            <w:tcW w:w="6200" w:type="dxa"/>
            <w:vAlign w:val="bottom"/>
          </w:tcPr>
          <w:p>
            <w:pPr>
              <w:ind w:left="40"/>
              <w:spacing w:after="0"/>
              <w:rPr>
                <w:sz w:val="20"/>
                <w:szCs w:val="20"/>
                <w:color w:val="auto"/>
              </w:rPr>
            </w:pPr>
            <w:r>
              <w:rPr>
                <w:rFonts w:ascii="Arial" w:cs="Arial" w:eastAsia="Arial" w:hAnsi="Arial"/>
                <w:sz w:val="16"/>
                <w:szCs w:val="16"/>
                <w:color w:val="auto"/>
              </w:rPr>
              <w:t>Termination.</w:t>
            </w:r>
          </w:p>
        </w:tc>
        <w:tc>
          <w:tcPr>
            <w:tcW w:w="3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9.02  Effect of Termination.</w:t>
            </w:r>
          </w:p>
        </w:tc>
        <w:tc>
          <w:tcPr>
            <w:tcW w:w="3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rPr>
              <w:t>SECTION 9.03</w:t>
            </w:r>
          </w:p>
        </w:tc>
        <w:tc>
          <w:tcPr>
            <w:tcW w:w="6200" w:type="dxa"/>
            <w:vAlign w:val="bottom"/>
          </w:tcPr>
          <w:p>
            <w:pPr>
              <w:ind w:left="40"/>
              <w:spacing w:after="0"/>
              <w:rPr>
                <w:sz w:val="20"/>
                <w:szCs w:val="20"/>
                <w:color w:val="auto"/>
              </w:rPr>
            </w:pPr>
            <w:r>
              <w:rPr>
                <w:rFonts w:ascii="Arial" w:cs="Arial" w:eastAsia="Arial" w:hAnsi="Arial"/>
                <w:sz w:val="16"/>
                <w:szCs w:val="16"/>
                <w:color w:val="auto"/>
              </w:rPr>
              <w:t>Survival.</w:t>
            </w:r>
          </w:p>
        </w:tc>
        <w:tc>
          <w:tcPr>
            <w:tcW w:w="34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7380" w:type="dxa"/>
            <w:vAlign w:val="bottom"/>
            <w:gridSpan w:val="2"/>
          </w:tcPr>
          <w:p>
            <w:pPr>
              <w:spacing w:after="0"/>
              <w:rPr>
                <w:sz w:val="20"/>
                <w:szCs w:val="20"/>
                <w:color w:val="auto"/>
              </w:rPr>
            </w:pPr>
            <w:r>
              <w:rPr>
                <w:rFonts w:ascii="Arial" w:cs="Arial" w:eastAsia="Arial" w:hAnsi="Arial"/>
                <w:sz w:val="16"/>
                <w:szCs w:val="16"/>
                <w:color w:val="auto"/>
              </w:rPr>
              <w:t>SECTION 9.04 Business Continuity; Force Majeure.</w:t>
            </w:r>
          </w:p>
        </w:tc>
        <w:tc>
          <w:tcPr>
            <w:tcW w:w="34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3"/>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Article X GENERAL PROVISIONS</w:t>
            </w:r>
          </w:p>
        </w:tc>
        <w:tc>
          <w:tcPr>
            <w:tcW w:w="3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10.01</w:t>
            </w:r>
          </w:p>
        </w:tc>
        <w:tc>
          <w:tcPr>
            <w:tcW w:w="6200" w:type="dxa"/>
            <w:vAlign w:val="bottom"/>
          </w:tcPr>
          <w:p>
            <w:pPr>
              <w:ind w:left="120"/>
              <w:spacing w:after="0"/>
              <w:rPr>
                <w:sz w:val="20"/>
                <w:szCs w:val="20"/>
                <w:color w:val="auto"/>
              </w:rPr>
            </w:pPr>
            <w:r>
              <w:rPr>
                <w:rFonts w:ascii="Arial" w:cs="Arial" w:eastAsia="Arial" w:hAnsi="Arial"/>
                <w:sz w:val="16"/>
                <w:szCs w:val="16"/>
                <w:color w:val="auto"/>
              </w:rPr>
              <w:t>Independent Contractors.</w:t>
            </w:r>
          </w:p>
        </w:tc>
        <w:tc>
          <w:tcPr>
            <w:tcW w:w="3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10.02</w:t>
            </w:r>
          </w:p>
        </w:tc>
        <w:tc>
          <w:tcPr>
            <w:tcW w:w="6200" w:type="dxa"/>
            <w:vAlign w:val="bottom"/>
          </w:tcPr>
          <w:p>
            <w:pPr>
              <w:ind w:left="120"/>
              <w:spacing w:after="0"/>
              <w:rPr>
                <w:sz w:val="20"/>
                <w:szCs w:val="20"/>
                <w:color w:val="auto"/>
              </w:rPr>
            </w:pPr>
            <w:r>
              <w:rPr>
                <w:rFonts w:ascii="Arial" w:cs="Arial" w:eastAsia="Arial" w:hAnsi="Arial"/>
                <w:sz w:val="16"/>
                <w:szCs w:val="16"/>
                <w:color w:val="auto"/>
              </w:rPr>
              <w:t>Subcontractors.</w:t>
            </w:r>
          </w:p>
        </w:tc>
        <w:tc>
          <w:tcPr>
            <w:tcW w:w="3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10.03  Cooperation; Additional Services.</w:t>
            </w:r>
          </w:p>
        </w:tc>
        <w:tc>
          <w:tcPr>
            <w:tcW w:w="3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10.04  Books and Records.</w:t>
            </w:r>
          </w:p>
        </w:tc>
        <w:tc>
          <w:tcPr>
            <w:tcW w:w="3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10.05</w:t>
            </w:r>
          </w:p>
        </w:tc>
        <w:tc>
          <w:tcPr>
            <w:tcW w:w="6200" w:type="dxa"/>
            <w:vAlign w:val="bottom"/>
          </w:tcPr>
          <w:p>
            <w:pPr>
              <w:ind w:left="120"/>
              <w:spacing w:after="0"/>
              <w:rPr>
                <w:sz w:val="20"/>
                <w:szCs w:val="20"/>
                <w:color w:val="auto"/>
              </w:rPr>
            </w:pPr>
            <w:r>
              <w:rPr>
                <w:rFonts w:ascii="Arial" w:cs="Arial" w:eastAsia="Arial" w:hAnsi="Arial"/>
                <w:sz w:val="16"/>
                <w:szCs w:val="16"/>
                <w:color w:val="auto"/>
              </w:rPr>
              <w:t>Notices.</w:t>
            </w:r>
          </w:p>
        </w:tc>
        <w:tc>
          <w:tcPr>
            <w:tcW w:w="3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10.06  Regulatory Approval and Compliance.</w:t>
            </w:r>
          </w:p>
        </w:tc>
        <w:tc>
          <w:tcPr>
            <w:tcW w:w="3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10.07</w:t>
            </w:r>
          </w:p>
        </w:tc>
        <w:tc>
          <w:tcPr>
            <w:tcW w:w="6200" w:type="dxa"/>
            <w:vAlign w:val="bottom"/>
          </w:tcPr>
          <w:p>
            <w:pPr>
              <w:ind w:left="120"/>
              <w:spacing w:after="0"/>
              <w:rPr>
                <w:sz w:val="20"/>
                <w:szCs w:val="20"/>
                <w:color w:val="auto"/>
              </w:rPr>
            </w:pPr>
            <w:r>
              <w:rPr>
                <w:rFonts w:ascii="Arial" w:cs="Arial" w:eastAsia="Arial" w:hAnsi="Arial"/>
                <w:sz w:val="16"/>
                <w:szCs w:val="16"/>
                <w:color w:val="auto"/>
              </w:rPr>
              <w:t>Severability.</w:t>
            </w:r>
          </w:p>
        </w:tc>
        <w:tc>
          <w:tcPr>
            <w:tcW w:w="3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10.08</w:t>
            </w:r>
          </w:p>
        </w:tc>
        <w:tc>
          <w:tcPr>
            <w:tcW w:w="6200" w:type="dxa"/>
            <w:vAlign w:val="bottom"/>
          </w:tcPr>
          <w:p>
            <w:pPr>
              <w:ind w:left="120"/>
              <w:spacing w:after="0"/>
              <w:rPr>
                <w:sz w:val="20"/>
                <w:szCs w:val="20"/>
                <w:color w:val="auto"/>
              </w:rPr>
            </w:pPr>
            <w:r>
              <w:rPr>
                <w:rFonts w:ascii="Arial" w:cs="Arial" w:eastAsia="Arial" w:hAnsi="Arial"/>
                <w:sz w:val="16"/>
                <w:szCs w:val="16"/>
                <w:color w:val="auto"/>
              </w:rPr>
              <w:t>Entire Agreement.</w:t>
            </w:r>
          </w:p>
        </w:tc>
        <w:tc>
          <w:tcPr>
            <w:tcW w:w="3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10.09  Assignment; No Third-Party Beneficiaries.</w:t>
            </w:r>
          </w:p>
        </w:tc>
        <w:tc>
          <w:tcPr>
            <w:tcW w:w="3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10.10</w:t>
            </w:r>
          </w:p>
        </w:tc>
        <w:tc>
          <w:tcPr>
            <w:tcW w:w="6200" w:type="dxa"/>
            <w:vAlign w:val="bottom"/>
          </w:tcPr>
          <w:p>
            <w:pPr>
              <w:ind w:left="120"/>
              <w:spacing w:after="0"/>
              <w:rPr>
                <w:sz w:val="20"/>
                <w:szCs w:val="20"/>
                <w:color w:val="auto"/>
              </w:rPr>
            </w:pPr>
            <w:r>
              <w:rPr>
                <w:rFonts w:ascii="Arial" w:cs="Arial" w:eastAsia="Arial" w:hAnsi="Arial"/>
                <w:sz w:val="16"/>
                <w:szCs w:val="16"/>
                <w:color w:val="auto"/>
              </w:rPr>
              <w:t>Confidentiality.</w:t>
            </w:r>
          </w:p>
        </w:tc>
        <w:tc>
          <w:tcPr>
            <w:tcW w:w="34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10.11</w:t>
            </w:r>
          </w:p>
        </w:tc>
        <w:tc>
          <w:tcPr>
            <w:tcW w:w="6200" w:type="dxa"/>
            <w:vAlign w:val="bottom"/>
          </w:tcPr>
          <w:p>
            <w:pPr>
              <w:ind w:left="120"/>
              <w:spacing w:after="0"/>
              <w:rPr>
                <w:sz w:val="20"/>
                <w:szCs w:val="20"/>
                <w:color w:val="auto"/>
              </w:rPr>
            </w:pPr>
            <w:r>
              <w:rPr>
                <w:rFonts w:ascii="Arial" w:cs="Arial" w:eastAsia="Arial" w:hAnsi="Arial"/>
                <w:sz w:val="16"/>
                <w:szCs w:val="16"/>
                <w:color w:val="auto"/>
              </w:rPr>
              <w:t>Amendment; Waiver.</w:t>
            </w:r>
          </w:p>
        </w:tc>
        <w:tc>
          <w:tcPr>
            <w:tcW w:w="3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5"/>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SECTION 10.12  Rules of Construction.</w:t>
            </w:r>
          </w:p>
        </w:tc>
        <w:tc>
          <w:tcPr>
            <w:tcW w:w="3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10.13</w:t>
            </w:r>
          </w:p>
        </w:tc>
        <w:tc>
          <w:tcPr>
            <w:tcW w:w="6200" w:type="dxa"/>
            <w:vAlign w:val="bottom"/>
          </w:tcPr>
          <w:p>
            <w:pPr>
              <w:ind w:left="120"/>
              <w:spacing w:after="0"/>
              <w:rPr>
                <w:sz w:val="20"/>
                <w:szCs w:val="20"/>
                <w:color w:val="auto"/>
              </w:rPr>
            </w:pPr>
            <w:r>
              <w:rPr>
                <w:rFonts w:ascii="Arial" w:cs="Arial" w:eastAsia="Arial" w:hAnsi="Arial"/>
                <w:sz w:val="16"/>
                <w:szCs w:val="16"/>
                <w:color w:val="auto"/>
              </w:rPr>
              <w:t>Currency.</w:t>
            </w:r>
          </w:p>
        </w:tc>
        <w:tc>
          <w:tcPr>
            <w:tcW w:w="34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10.14</w:t>
            </w:r>
          </w:p>
        </w:tc>
        <w:tc>
          <w:tcPr>
            <w:tcW w:w="6200" w:type="dxa"/>
            <w:vAlign w:val="bottom"/>
          </w:tcPr>
          <w:p>
            <w:pPr>
              <w:ind w:left="120"/>
              <w:spacing w:after="0"/>
              <w:rPr>
                <w:sz w:val="20"/>
                <w:szCs w:val="20"/>
                <w:color w:val="auto"/>
              </w:rPr>
            </w:pPr>
            <w:r>
              <w:rPr>
                <w:rFonts w:ascii="Arial" w:cs="Arial" w:eastAsia="Arial" w:hAnsi="Arial"/>
                <w:sz w:val="16"/>
                <w:szCs w:val="16"/>
                <w:color w:val="auto"/>
              </w:rPr>
              <w:t>Counterparts.</w:t>
            </w:r>
          </w:p>
        </w:tc>
        <w:tc>
          <w:tcPr>
            <w:tcW w:w="34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5"/>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10.15</w:t>
            </w:r>
          </w:p>
        </w:tc>
        <w:tc>
          <w:tcPr>
            <w:tcW w:w="6200" w:type="dxa"/>
            <w:vAlign w:val="bottom"/>
          </w:tcPr>
          <w:p>
            <w:pPr>
              <w:ind w:left="120"/>
              <w:spacing w:after="0"/>
              <w:rPr>
                <w:sz w:val="20"/>
                <w:szCs w:val="20"/>
                <w:color w:val="auto"/>
              </w:rPr>
            </w:pPr>
            <w:r>
              <w:rPr>
                <w:rFonts w:ascii="Arial" w:cs="Arial" w:eastAsia="Arial" w:hAnsi="Arial"/>
                <w:sz w:val="16"/>
                <w:szCs w:val="16"/>
                <w:color w:val="auto"/>
              </w:rPr>
              <w:t>Disclaimer.</w:t>
            </w:r>
          </w:p>
        </w:tc>
        <w:tc>
          <w:tcPr>
            <w:tcW w:w="34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8"/>
        </w:trPr>
        <w:tc>
          <w:tcPr>
            <w:tcW w:w="1180" w:type="dxa"/>
            <w:vAlign w:val="bottom"/>
          </w:tcPr>
          <w:p>
            <w:pPr>
              <w:ind w:left="40"/>
              <w:spacing w:after="0"/>
              <w:rPr>
                <w:sz w:val="20"/>
                <w:szCs w:val="20"/>
                <w:color w:val="auto"/>
              </w:rPr>
            </w:pPr>
            <w:r>
              <w:rPr>
                <w:rFonts w:ascii="Arial" w:cs="Arial" w:eastAsia="Arial" w:hAnsi="Arial"/>
                <w:sz w:val="16"/>
                <w:szCs w:val="16"/>
                <w:color w:val="auto"/>
                <w:w w:val="96"/>
              </w:rPr>
              <w:t>SECTION 10.16</w:t>
            </w:r>
          </w:p>
        </w:tc>
        <w:tc>
          <w:tcPr>
            <w:tcW w:w="6200" w:type="dxa"/>
            <w:vAlign w:val="bottom"/>
          </w:tcPr>
          <w:p>
            <w:pPr>
              <w:ind w:left="120"/>
              <w:spacing w:after="0"/>
              <w:rPr>
                <w:sz w:val="20"/>
                <w:szCs w:val="20"/>
                <w:color w:val="auto"/>
              </w:rPr>
            </w:pPr>
            <w:r>
              <w:rPr>
                <w:rFonts w:ascii="Arial" w:cs="Arial" w:eastAsia="Arial" w:hAnsi="Arial"/>
                <w:sz w:val="16"/>
                <w:szCs w:val="16"/>
                <w:color w:val="auto"/>
              </w:rPr>
              <w:t>Conflicts.</w:t>
            </w:r>
          </w:p>
        </w:tc>
        <w:tc>
          <w:tcPr>
            <w:tcW w:w="342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0800"/>
          </w:cols>
          <w:pgMar w:left="320" w:top="1138" w:right="779" w:bottom="1440" w:gutter="0" w:footer="0" w:header="0"/>
        </w:sectPr>
      </w:pPr>
    </w:p>
    <w:bookmarkStart w:id="201" w:name="page202"/>
    <w:bookmarkEnd w:id="201"/>
    <w:p>
      <w:pPr>
        <w:jc w:val="both"/>
        <w:ind w:firstLine="492"/>
        <w:spacing w:after="0" w:line="245" w:lineRule="auto"/>
        <w:rPr>
          <w:sz w:val="20"/>
          <w:szCs w:val="20"/>
          <w:color w:val="auto"/>
        </w:rPr>
      </w:pPr>
      <w:r>
        <w:rPr>
          <w:rFonts w:ascii="Arial" w:cs="Arial" w:eastAsia="Arial" w:hAnsi="Arial"/>
          <w:sz w:val="16"/>
          <w:szCs w:val="16"/>
          <w:color w:val="auto"/>
        </w:rPr>
        <w:t>This SHARED SERVICES AGREEMENT, dated August 4, 2021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by and between GENWORTH FINANCIAL, INC., a Delaware corporation (“</w:t>
      </w:r>
      <w:r>
        <w:rPr>
          <w:rFonts w:ascii="Arial" w:cs="Arial" w:eastAsia="Arial" w:hAnsi="Arial"/>
          <w:sz w:val="16"/>
          <w:szCs w:val="16"/>
          <w:u w:val="single" w:color="auto"/>
          <w:color w:val="auto"/>
        </w:rPr>
        <w:t>Genworth</w:t>
      </w:r>
      <w:r>
        <w:rPr>
          <w:rFonts w:ascii="Arial" w:cs="Arial" w:eastAsia="Arial" w:hAnsi="Arial"/>
          <w:sz w:val="16"/>
          <w:szCs w:val="16"/>
          <w:color w:val="auto"/>
        </w:rPr>
        <w:t>”) and ENACT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RECITALS</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WHEREAS, the Company is a direct, wholly owned Subsidiary of Genworth Holdings, Inc., a Delaware corporation, which is an indirect, wholly owned Subsidiary of Genworth; and</w:t>
      </w:r>
    </w:p>
    <w:p>
      <w:pPr>
        <w:spacing w:after="0" w:line="117" w:lineRule="exact"/>
        <w:rPr>
          <w:sz w:val="20"/>
          <w:szCs w:val="20"/>
          <w:color w:val="auto"/>
        </w:rPr>
      </w:pPr>
    </w:p>
    <w:p>
      <w:pPr>
        <w:jc w:val="both"/>
        <w:ind w:firstLine="492"/>
        <w:spacing w:after="0" w:line="223" w:lineRule="auto"/>
        <w:rPr>
          <w:sz w:val="20"/>
          <w:szCs w:val="20"/>
          <w:color w:val="auto"/>
        </w:rPr>
      </w:pPr>
      <w:r>
        <w:rPr>
          <w:rFonts w:ascii="Arial" w:cs="Arial" w:eastAsia="Arial" w:hAnsi="Arial"/>
          <w:sz w:val="16"/>
          <w:szCs w:val="16"/>
          <w:color w:val="auto"/>
        </w:rPr>
        <w:t>WHEREAS, the Parties hereto intend to provide that, on the terms and subject to the conditions set forth in this Agreement: (a) Genworth will continue to provide, or cause to continue to be provided, certain administrative and support services and other assistance to the Company, each subsidiary of the Company, and each other Person that is controlled either directly or indirectly by the Company as of the Effective Date or thereafter during the term of this Agreement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Group</w:t>
      </w:r>
      <w:r>
        <w:rPr>
          <w:rFonts w:ascii="Arial" w:cs="Arial" w:eastAsia="Arial" w:hAnsi="Arial"/>
          <w:sz w:val="16"/>
          <w:szCs w:val="16"/>
          <w:color w:val="auto"/>
        </w:rPr>
        <w:t>”) in accordance with the terms and subject to the conditions set forth herein, and (b) the Company will continue to provide, or cause to continue to be provided, certain administrative and support services and other assistance to Genworth and its Affiliates, (collectively, the “</w:t>
      </w:r>
      <w:r>
        <w:rPr>
          <w:rFonts w:ascii="Arial" w:cs="Arial" w:eastAsia="Arial" w:hAnsi="Arial"/>
          <w:sz w:val="16"/>
          <w:szCs w:val="16"/>
          <w:u w:val="single" w:color="auto"/>
          <w:color w:val="auto"/>
        </w:rPr>
        <w:t>Genworth Group</w:t>
      </w:r>
      <w:r>
        <w:rPr>
          <w:rFonts w:ascii="Arial" w:cs="Arial" w:eastAsia="Arial" w:hAnsi="Arial"/>
          <w:sz w:val="16"/>
          <w:szCs w:val="16"/>
          <w:color w:val="auto"/>
        </w:rPr>
        <w:t>”) in accordance with the terms and subject to the conditions set forth herein.</w:t>
      </w:r>
    </w:p>
    <w:p>
      <w:pPr>
        <w:spacing w:after="0" w:line="123" w:lineRule="exact"/>
        <w:rPr>
          <w:sz w:val="20"/>
          <w:szCs w:val="20"/>
          <w:color w:val="auto"/>
        </w:rPr>
      </w:pPr>
    </w:p>
    <w:p>
      <w:pPr>
        <w:jc w:val="both"/>
        <w:ind w:firstLine="492"/>
        <w:spacing w:after="0" w:line="278" w:lineRule="auto"/>
        <w:rPr>
          <w:sz w:val="20"/>
          <w:szCs w:val="20"/>
          <w:color w:val="auto"/>
        </w:rPr>
      </w:pPr>
      <w:r>
        <w:rPr>
          <w:rFonts w:ascii="Arial" w:cs="Arial" w:eastAsia="Arial" w:hAnsi="Arial"/>
          <w:sz w:val="15"/>
          <w:szCs w:val="15"/>
          <w:color w:val="auto"/>
        </w:rPr>
        <w:t>NOW, THEREFORE, in consideration of the premises and the covenants and agreements contained herein, and for other good and valuable consideration, the receipt and sufficiency of which are hereby acknowledged, and intending to be legally bound hereby, the Parties hereto hereby agree as follows:</w:t>
      </w:r>
    </w:p>
    <w:p>
      <w:pPr>
        <w:spacing w:after="0" w:line="89"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Article I</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DEFINITIONS</w:t>
      </w:r>
    </w:p>
    <w:p>
      <w:pPr>
        <w:spacing w:after="0" w:line="14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w:t>
      </w:r>
      <w:r>
        <w:rPr>
          <w:sz w:val="20"/>
          <w:szCs w:val="20"/>
          <w:color w:val="auto"/>
        </w:rPr>
        <w:tab/>
      </w:r>
      <w:r>
        <w:rPr>
          <w:rFonts w:ascii="Arial" w:cs="Arial" w:eastAsia="Arial" w:hAnsi="Arial"/>
          <w:sz w:val="14"/>
          <w:szCs w:val="14"/>
          <w:u w:val="single" w:color="auto"/>
          <w:color w:val="auto"/>
        </w:rPr>
        <w:t>Certain Defined Terms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Capitalized terms used in this Agreement shall have the meanings set forth below or elsewhere in the Agreement:</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“Action” means any demand, action, claim, dispute, suit, countersuit, arbitration, inquiry, proceeding or investigation by or before any federal, state, local, foreign or international Governmental Authority or any arbitration or mediation tribunal.</w:t>
      </w:r>
    </w:p>
    <w:p>
      <w:pPr>
        <w:spacing w:after="0" w:line="117" w:lineRule="exact"/>
        <w:rPr>
          <w:sz w:val="20"/>
          <w:szCs w:val="20"/>
          <w:color w:val="auto"/>
        </w:rPr>
      </w:pPr>
    </w:p>
    <w:p>
      <w:pPr>
        <w:jc w:val="both"/>
        <w:ind w:firstLine="985"/>
        <w:spacing w:after="0" w:line="2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xml:space="preserve">” means, with respect to any Person, any direct or indirect subsidiary of such Person, and any other Person that directly, or indirectly through one or more intermediaries, controls or is controlled by or is under common control with such first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solely for purposes of this Agreement, from and after the Effective Date, no member of the Company Group shall be deemed an Affiliate of any member of the Genworth Group and no member of the Genworth Group shall be deemed an Affiliate of any member of the Company Group.</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2.01(d)</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 Termination Date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9.01(a)</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Arrangement</w:t>
      </w:r>
      <w:r>
        <w:rPr>
          <w:rFonts w:ascii="Arial" w:cs="Arial" w:eastAsia="Arial" w:hAnsi="Arial"/>
          <w:sz w:val="16"/>
          <w:szCs w:val="16"/>
          <w:color w:val="auto"/>
        </w:rPr>
        <w:t>” means, with respect to an entity, each compensation or employee benefit plan, program, policy, agreement or other arrangement, whether or not an employee benefit plan” within the meaning of Section 3(3) of ERISA (whether or not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097" w:right="319" w:bottom="1440" w:gutter="0" w:footer="0" w:header="0"/>
        </w:sectPr>
      </w:pPr>
    </w:p>
    <w:bookmarkStart w:id="202" w:name="page203"/>
    <w:bookmarkEnd w:id="202"/>
    <w:p>
      <w:pPr>
        <w:jc w:val="both"/>
        <w:spacing w:after="0"/>
        <w:rPr>
          <w:sz w:val="20"/>
          <w:szCs w:val="20"/>
          <w:color w:val="auto"/>
        </w:rPr>
      </w:pPr>
      <w:r>
        <w:rPr>
          <w:rFonts w:ascii="Arial" w:cs="Arial" w:eastAsia="Arial" w:hAnsi="Arial"/>
          <w:sz w:val="15"/>
          <w:szCs w:val="15"/>
          <w:color w:val="auto"/>
        </w:rPr>
        <w:t>ERISA), including any benefit plan, program, policy, agreement or arrangement providing cash or equity-based compensation or incentives, health, medical, dental, vision, disability, accident or life insurance benefits or vacation, paid or unpaid leave, severance, retention, change in control, termination, deferred compensation, individual employment or consulting, retirement, supplemental retirement, pension or savings benefits, supplemental income, retiree benefit or other fringe benefit (whether or not taxable), or employee restrictive covenant agreement or loans, that are sponsored or maintained by such entity (or to which such entity contributes or is required to contribute or in which it participates or is otherwise a party), and including workers’ compensation plans, policies, programs and arrangements.</w:t>
      </w:r>
    </w:p>
    <w:p>
      <w:pPr>
        <w:spacing w:after="0" w:line="122"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Monday to Friday, except for any day on which banking institutions in New York, New York, Richmond, Virginia or Raleigh, North Carolina are authorized or required by applicable Law or executive order to close.</w:t>
      </w:r>
    </w:p>
    <w:p>
      <w:pPr>
        <w:spacing w:after="0" w:line="117"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Business</w:t>
      </w:r>
      <w:r>
        <w:rPr>
          <w:rFonts w:ascii="Arial" w:cs="Arial" w:eastAsia="Arial" w:hAnsi="Arial"/>
          <w:sz w:val="16"/>
          <w:szCs w:val="16"/>
          <w:color w:val="auto"/>
        </w:rPr>
        <w:t>” means (a) the current businesses of the members of the Company Group; and (b) those terminated, divested or discontinued businesses within the last two (2) years which are or should be included as historical operations of the Company Group.</w:t>
      </w:r>
    </w:p>
    <w:p>
      <w:pPr>
        <w:spacing w:after="0" w:line="1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the common stock, $0.01 par value per share, of the Company.</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Divested Unit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10.09(b)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Indemnified Parties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10.09(b)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Services Manager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Substitute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Purchasing Rights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3.01(a)</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Vendor Agreements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3.01(b</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information disclosed by a party to another party in connection with the Services, including Personal Information, whether before or after the date of this document, but excluding information that: (a) was in the public domain at the date of this document; (b) became part of the public domain after the date of this document otherwise than as a result of disclosure by the Receiving Party in breach of this agreement; or (c) is independently developed by the Receiving Party.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Security and Cybersecurity Program</w:t>
      </w:r>
      <w:r>
        <w:rPr>
          <w:rFonts w:ascii="Arial" w:cs="Arial" w:eastAsia="Arial" w:hAnsi="Arial"/>
          <w:sz w:val="16"/>
          <w:szCs w:val="16"/>
          <w:color w:val="auto"/>
        </w:rPr>
        <w:t>” means Genworth’s data security and cybersecurity program that includes, among other things data protection and cybersecurity policies, as amended by Genworth from time to time.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 Bill Charge</w:t>
      </w:r>
      <w:r>
        <w:rPr>
          <w:rFonts w:ascii="Arial" w:cs="Arial" w:eastAsia="Arial" w:hAnsi="Arial"/>
          <w:sz w:val="16"/>
          <w:szCs w:val="16"/>
          <w:color w:val="auto"/>
        </w:rPr>
        <w:t>” shall be a charge associated with a Service indicated as a direct bill in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097" w:right="319" w:bottom="1440" w:gutter="0" w:footer="0" w:header="0"/>
        </w:sectPr>
      </w:pPr>
    </w:p>
    <w:bookmarkStart w:id="203" w:name="page204"/>
    <w:bookmarkEnd w:id="203"/>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Disclosing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10.10(e)</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Divested Units</w:t>
      </w:r>
      <w:r>
        <w:rPr>
          <w:rFonts w:ascii="Arial" w:cs="Arial" w:eastAsia="Arial" w:hAnsi="Arial"/>
          <w:sz w:val="16"/>
          <w:szCs w:val="16"/>
          <w:color w:val="auto"/>
        </w:rPr>
        <w:t>” means Genworth Financial Mortgage Company Canada now known as Sagen, Genworth Mortgage Insurance Australia Limited, Genworth Financial Mortgage Insurance Pty Limited, Genworth Financial Mortgage Indemnity Limited, and Balmoral Insurance Company Limited.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indicated in the first paragraph of this Agreement.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Services</w:t>
      </w:r>
      <w:r>
        <w:rPr>
          <w:rFonts w:ascii="Arial" w:cs="Arial" w:eastAsia="Arial" w:hAnsi="Arial"/>
          <w:sz w:val="16"/>
          <w:szCs w:val="16"/>
          <w:color w:val="auto"/>
        </w:rPr>
        <w:t xml:space="preserve">” means those services, systems, functions and responsibilities listed in </w:t>
      </w:r>
      <w:r>
        <w:rPr>
          <w:rFonts w:ascii="Arial" w:cs="Arial" w:eastAsia="Arial" w:hAnsi="Arial"/>
          <w:sz w:val="16"/>
          <w:szCs w:val="16"/>
          <w:u w:val="single" w:color="auto"/>
          <w:color w:val="auto"/>
        </w:rPr>
        <w:t>Schedule C</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 Notice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9.01(b)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9.01(c)</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Force Majeure</w:t>
      </w:r>
      <w:r>
        <w:rPr>
          <w:rFonts w:ascii="Arial" w:cs="Arial" w:eastAsia="Arial" w:hAnsi="Arial"/>
          <w:sz w:val="15"/>
          <w:szCs w:val="15"/>
          <w:color w:val="auto"/>
        </w:rPr>
        <w:t>” means, with respect to a party, any event beyond the control of such party (or any Person acting on its behalf), which by its nature could not have been foreseen by such party (or such Person), or, if it could have been foreseen, was unavoidable, and includes, acts of God, earthquakes, hurricanes, tsunamis, tornados, floods, mudslides, wild fires or other natural disasters, riots, sabotage, civil commotion or civil unrest, interference by civil or military authorities, acts of war (declared or undeclared) or armed hostilities or other national or international calamities, or one or more acts of terrorism or failure of energy sources.</w:t>
      </w:r>
    </w:p>
    <w:p>
      <w:pPr>
        <w:spacing w:after="0" w:line="119" w:lineRule="exact"/>
        <w:rPr>
          <w:sz w:val="20"/>
          <w:szCs w:val="20"/>
          <w:color w:val="auto"/>
        </w:rPr>
      </w:pPr>
    </w:p>
    <w:p>
      <w:pPr>
        <w:jc w:val="both"/>
        <w:ind w:firstLine="98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Genworth Business</w:t>
      </w:r>
      <w:r>
        <w:rPr>
          <w:rFonts w:ascii="Arial" w:cs="Arial" w:eastAsia="Arial" w:hAnsi="Arial"/>
          <w:sz w:val="15"/>
          <w:szCs w:val="15"/>
          <w:color w:val="auto"/>
        </w:rPr>
        <w:t>” means the businesses owned or managed, directly or indirectly, by the Genworth Group immediately prior to the Effective Date that, prior to the Effective Date, was receiving any service or support substantially the same as the Company Services from any member of the Company Group</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Charges Cap</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5.01(d)</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Group</w:t>
      </w:r>
      <w:r>
        <w:rPr>
          <w:rFonts w:ascii="Arial" w:cs="Arial" w:eastAsia="Arial" w:hAnsi="Arial"/>
          <w:sz w:val="16"/>
          <w:szCs w:val="16"/>
          <w:color w:val="auto"/>
        </w:rPr>
        <w:t>” shall have the meaning set forth in the Recitals.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Divested Unit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10.09(b)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Indemnified Parties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3.01(c)</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Purchasing Rights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3.01(b)</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Substitute Service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Services Manager</w:t>
      </w:r>
      <w:r>
        <w:rPr>
          <w:rFonts w:ascii="Arial" w:cs="Arial" w:eastAsia="Arial" w:hAnsi="Arial"/>
          <w:sz w:val="16"/>
          <w:szCs w:val="16"/>
          <w:color w:val="auto"/>
        </w:rPr>
        <w:t>” shall have the meaning set forth in Section 2.04.</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Genworth Vendor Agreements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3.01(a)</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Authorities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4.02(d)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098" w:right="319" w:bottom="1440" w:gutter="0" w:footer="0" w:header="0"/>
        </w:sectPr>
      </w:pPr>
    </w:p>
    <w:bookmarkStart w:id="204" w:name="page205"/>
    <w:bookmarkEnd w:id="204"/>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means the Health Insurance Portability and Accountability Act of 1996, as amended and supplemented.</w:t>
      </w:r>
    </w:p>
    <w:p>
      <w:pPr>
        <w:spacing w:after="0" w:line="144" w:lineRule="exact"/>
        <w:rPr>
          <w:sz w:val="20"/>
          <w:szCs w:val="20"/>
          <w:color w:val="auto"/>
        </w:rPr>
      </w:pPr>
    </w:p>
    <w:p>
      <w:pPr>
        <w:jc w:val="both"/>
        <w:ind w:firstLine="985"/>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Improvement</w:t>
      </w:r>
      <w:r>
        <w:rPr>
          <w:rFonts w:ascii="Arial" w:cs="Arial" w:eastAsia="Arial" w:hAnsi="Arial"/>
          <w:sz w:val="16"/>
          <w:szCs w:val="16"/>
          <w:color w:val="auto"/>
        </w:rPr>
        <w:t>” means any enhancement, modification, derivative work, improvement or other change of or to any Intellectual Property in respect of performance of any Services or any Additional Services, and includes any enhancement, modification, derivative work, improvement or other change of or to any of Genworth’s Intellectual Property or Company’s Intellectual Property made by a Provider in respect of performance of any Services or Additional Services under this Agreement but specifically excludes any Recipient Data or any enhancement, modification, derivative work or other change made by any party in providing any IT services, including in connection with any Technology provided or to which access is given.</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means a person entitled to receive indemnification pursuant to this Agreement.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means a Party obligated to provide indemnification pursuant to this Agreement.</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Systems</w:t>
      </w:r>
      <w:r>
        <w:rPr>
          <w:rFonts w:ascii="Arial" w:cs="Arial" w:eastAsia="Arial" w:hAnsi="Arial"/>
          <w:sz w:val="16"/>
          <w:szCs w:val="16"/>
          <w:color w:val="auto"/>
        </w:rPr>
        <w:t>” means computing, telecommunications or other digital operating or processing systems or environments, including computer programs, data, databases, computers, computer libraries, communications equipment, networks and systems.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Event</w:t>
      </w:r>
      <w:r>
        <w:rPr>
          <w:rFonts w:ascii="Arial" w:cs="Arial" w:eastAsia="Arial" w:hAnsi="Arial"/>
          <w:sz w:val="16"/>
          <w:szCs w:val="16"/>
          <w:color w:val="auto"/>
        </w:rPr>
        <w:t>” means:</w:t>
      </w:r>
    </w:p>
    <w:p>
      <w:pPr>
        <w:spacing w:after="0" w:line="144" w:lineRule="exact"/>
        <w:rPr>
          <w:sz w:val="20"/>
          <w:szCs w:val="20"/>
          <w:color w:val="auto"/>
        </w:rPr>
      </w:pPr>
    </w:p>
    <w:p>
      <w:pPr>
        <w:jc w:val="both"/>
        <w:ind w:firstLine="1479"/>
        <w:spacing w:after="0" w:line="225" w:lineRule="auto"/>
        <w:tabs>
          <w:tab w:leader="none" w:pos="182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respect of the Company and its Affiliates, being involuntarily placed in liquidation, reorganization, winding up, administration, supervision, conservation, or having a receiver, trustee, custodian, sequestrator, conservator, liquidating agent, liquidator, administrator or other similar official appointed to it or any of its property, being unable to pay its debts or otherwise insolvent, or taking any step that could result in being placed in liquidation, reorganization, winding up, administration, supervision, conservation, or having a receiver, trustee, custodian, sequestrator, conservator, liquidating agent, liquidator, administrator or other similar official appointed to it;</w:t>
      </w:r>
    </w:p>
    <w:p>
      <w:pPr>
        <w:spacing w:after="0" w:line="122" w:lineRule="exact"/>
        <w:rPr>
          <w:rFonts w:ascii="Arial" w:cs="Arial" w:eastAsia="Arial" w:hAnsi="Arial"/>
          <w:sz w:val="16"/>
          <w:szCs w:val="16"/>
          <w:color w:val="auto"/>
        </w:rPr>
      </w:pPr>
    </w:p>
    <w:p>
      <w:pPr>
        <w:jc w:val="both"/>
        <w:ind w:firstLine="1479"/>
        <w:spacing w:after="0" w:line="225" w:lineRule="auto"/>
        <w:tabs>
          <w:tab w:leader="none" w:pos="190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respect of Genworth and its Affiliates, being involuntarily placed in liquidation, reorganization, winding up, administration, supervision, conservation, or having a receiver, trustee, custodian, sequestrator, conservator, liquidating agent, liquidator, administrator or other similar official appointed to it or any of its property, being unable to pay its debts or otherwise insolvent, or taking any step that could result in being placed in liquidation, reorganization, winding up, administration, supervision, conservation, or having a receiver, trustee, custodian, sequestrator, conservator, liquidating agent, liquidator, administrator or other similar official appointed to it.</w:t>
      </w:r>
    </w:p>
    <w:p>
      <w:pPr>
        <w:spacing w:after="0" w:line="122" w:lineRule="exact"/>
        <w:rPr>
          <w:sz w:val="20"/>
          <w:szCs w:val="20"/>
          <w:color w:val="auto"/>
        </w:rPr>
      </w:pPr>
    </w:p>
    <w:p>
      <w:pPr>
        <w:ind w:firstLine="985"/>
        <w:spacing w:after="0" w:line="2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patents, copyrights, mask works, trade secrets, inventions, designs, ideas, improvements, works of authorship, recordings, other proprietary and confidential information and licenses from third Persons granting the right to use any of the foregoing.</w:t>
      </w:r>
    </w:p>
    <w:p>
      <w:pPr>
        <w:spacing w:after="0" w:line="1" w:lineRule="exact"/>
        <w:rPr>
          <w:sz w:val="20"/>
          <w:szCs w:val="20"/>
          <w:color w:val="auto"/>
        </w:rPr>
      </w:pPr>
    </w:p>
    <w:p>
      <w:pPr>
        <w:ind w:firstLine="985"/>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or foreign law (including common law), statute, code, ordinance, rule, regulation, order or other requirement enacted, promulgated, issued, communicated or entered by a Governmental Authority.</w:t>
      </w:r>
    </w:p>
    <w:p>
      <w:pPr>
        <w:spacing w:after="0" w:line="141" w:lineRule="exact"/>
        <w:rPr>
          <w:sz w:val="20"/>
          <w:szCs w:val="20"/>
          <w:color w:val="auto"/>
        </w:rPr>
      </w:pPr>
    </w:p>
    <w:p>
      <w:pPr>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any debt, loss, damage, adverse claim, liability or obligation of any Person (whether direct or indirect, known or unknown, asserted or unasserted, absolute or contingent, accrued or unaccrued, liquidated or unliquidated, or due or to become due,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097" w:right="31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whether in contract, tort, strict liability or otherwise), and including all costs and expenses relating thereto.</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Parties</w:t>
      </w:r>
      <w:r>
        <w:rPr>
          <w:rFonts w:ascii="Arial" w:cs="Arial" w:eastAsia="Arial" w:hAnsi="Arial"/>
          <w:sz w:val="16"/>
          <w:szCs w:val="16"/>
          <w:color w:val="auto"/>
        </w:rPr>
        <w:t>” means Genworth and the Company.</w:t>
      </w: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Omitted Service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2.01(c)</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Costs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Overhead Allocation Charge</w:t>
      </w:r>
      <w:r>
        <w:rPr>
          <w:rFonts w:ascii="Arial" w:cs="Arial" w:eastAsia="Arial" w:hAnsi="Arial"/>
          <w:sz w:val="16"/>
          <w:szCs w:val="16"/>
          <w:color w:val="auto"/>
        </w:rPr>
        <w:t>” shall be a charge associated with a Service indicated as an overhead allocation charge in Schedule A.</w:t>
      </w:r>
    </w:p>
    <w:p>
      <w:pPr>
        <w:spacing w:after="0" w:line="144" w:lineRule="exact"/>
        <w:rPr>
          <w:sz w:val="20"/>
          <w:szCs w:val="20"/>
          <w:color w:val="auto"/>
        </w:rPr>
      </w:pPr>
    </w:p>
    <w:p>
      <w:pPr>
        <w:jc w:val="both"/>
        <w:ind w:firstLine="985"/>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information or data that meets the definition of “personally identifiable information”, “personal information”, “personal data” or other similar terms under applicable Laws and in any event includes information or data that is nonpublic information or an opinion about an individual whose identity is reasonably ascertainable from that information.</w:t>
      </w:r>
    </w:p>
    <w:p>
      <w:pPr>
        <w:spacing w:after="0" w:line="121"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partnership, firm, joint venture, association, joint-stock company, trust, unincorporated organization, Governmental Authority or other entity.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Act</w:t>
      </w:r>
      <w:r>
        <w:rPr>
          <w:rFonts w:ascii="Arial" w:cs="Arial" w:eastAsia="Arial" w:hAnsi="Arial"/>
          <w:sz w:val="16"/>
          <w:szCs w:val="16"/>
          <w:color w:val="auto"/>
        </w:rPr>
        <w:t>” means the Privacy Act of 1974, as amended and supplemented.</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Provider</w:t>
      </w:r>
      <w:r>
        <w:rPr>
          <w:rFonts w:ascii="Arial" w:cs="Arial" w:eastAsia="Arial" w:hAnsi="Arial"/>
          <w:sz w:val="16"/>
          <w:szCs w:val="16"/>
          <w:color w:val="auto"/>
        </w:rPr>
        <w:t>” means the party, including any member of the Genworth Group or the Company Group, or any of their respective Affiliates, providing a Service under this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10.10(e)</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means the party, including any member of the Genworth Group or the Company Group, or any of their respective Affiliates, to whom a Service under this Agreement is being provided.</w:t>
      </w:r>
    </w:p>
    <w:p>
      <w:pPr>
        <w:spacing w:after="0" w:line="117" w:lineRule="exact"/>
        <w:rPr>
          <w:sz w:val="20"/>
          <w:szCs w:val="20"/>
          <w:color w:val="auto"/>
        </w:rPr>
      </w:pPr>
    </w:p>
    <w:p>
      <w:pPr>
        <w:jc w:val="both"/>
        <w:ind w:firstLine="985"/>
        <w:spacing w:after="0" w:line="2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 Data</w:t>
      </w:r>
      <w:r>
        <w:rPr>
          <w:rFonts w:ascii="Arial" w:cs="Arial" w:eastAsia="Arial" w:hAnsi="Arial"/>
          <w:sz w:val="16"/>
          <w:szCs w:val="16"/>
          <w:color w:val="auto"/>
        </w:rPr>
        <w:t>” means data (including any documents, materials or other information in any form) that is owned by or created on behalf of the Recipient or otherwise relates predominantly to the business of the Recipient, even if also used in the business of the Provider, and includes any enhancement, modification, derivative work, improvement or other change of or to the data but excludes Genworth’s Intellectual Property and Company’s Intellectual Property, as applicable, and any other data already in the possession or control of the Provider, except where Genworth’s Intellectual Property or Company’s Intellectual Property, as applicable, or such other data, was developed or otherwise in the possession or control of the Provider as a result of the Provider providing services that are the same as, or of the nature of, the Services to the Recipient before the date of this Agreement.</w:t>
      </w:r>
    </w:p>
    <w:p>
      <w:pPr>
        <w:spacing w:after="0" w:line="123" w:lineRule="exact"/>
        <w:rPr>
          <w:sz w:val="20"/>
          <w:szCs w:val="20"/>
          <w:color w:val="auto"/>
        </w:rPr>
      </w:pPr>
    </w:p>
    <w:p>
      <w:pPr>
        <w:jc w:val="both"/>
        <w:ind w:firstLine="1046"/>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a Person’s Affiliates and their respective officers, directors, employees, and other agents and representatives, including attorneys, agents, customers, suppliers, contractors and consultants.</w:t>
      </w:r>
    </w:p>
    <w:p>
      <w:pPr>
        <w:spacing w:after="0" w:line="137"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Incident</w:t>
      </w:r>
      <w:r>
        <w:rPr>
          <w:rFonts w:ascii="Arial" w:cs="Arial" w:eastAsia="Arial" w:hAnsi="Arial"/>
          <w:sz w:val="16"/>
          <w:szCs w:val="16"/>
          <w:color w:val="auto"/>
        </w:rPr>
        <w:t>” means any confirmed unauthorized access to, disruption, or misuse of Confidential Information or Personal Information or an Information System on which Confidential or Personal Information is stored.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w:t>
      </w:r>
      <w:r>
        <w:rPr>
          <w:rFonts w:ascii="Arial" w:cs="Arial" w:eastAsia="Arial" w:hAnsi="Arial"/>
          <w:sz w:val="16"/>
          <w:szCs w:val="16"/>
          <w:color w:val="auto"/>
        </w:rPr>
        <w:t>” means, individually and collectively, the Genworth Services, Company Services and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098" w:right="319" w:bottom="1440" w:gutter="0" w:footer="0" w:header="0"/>
        </w:sectPr>
      </w:pPr>
    </w:p>
    <w:bookmarkStart w:id="206" w:name="page207"/>
    <w:bookmarkEnd w:id="206"/>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Charge(s)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5.01(a)</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Termination Date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9.01(a)</w:t>
      </w:r>
      <w:r>
        <w:rPr>
          <w:rFonts w:ascii="Arial" w:cs="Arial" w:eastAsia="Arial" w:hAnsi="Arial"/>
          <w:sz w:val="16"/>
          <w:szCs w:val="16"/>
          <w:color w:val="auto"/>
        </w:rPr>
        <w: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means the object and source code versions of computer programs and any associated documentation therefor.</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for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44" w:lineRule="exact"/>
        <w:rPr>
          <w:sz w:val="20"/>
          <w:szCs w:val="20"/>
          <w:color w:val="auto"/>
        </w:rPr>
      </w:pPr>
    </w:p>
    <w:p>
      <w:pPr>
        <w:jc w:val="both"/>
        <w:ind w:firstLine="985"/>
        <w:spacing w:after="0" w:line="2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or “</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joint venture or partnership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22" w:lineRule="exact"/>
        <w:rPr>
          <w:sz w:val="20"/>
          <w:szCs w:val="20"/>
          <w:color w:val="auto"/>
        </w:rPr>
      </w:pPr>
    </w:p>
    <w:p>
      <w:pPr>
        <w:jc w:val="both"/>
        <w:ind w:firstLine="98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Supplier Agreement</w:t>
      </w:r>
      <w:r>
        <w:rPr>
          <w:rFonts w:ascii="Arial" w:cs="Arial" w:eastAsia="Arial" w:hAnsi="Arial"/>
          <w:sz w:val="16"/>
          <w:szCs w:val="16"/>
          <w:color w:val="auto"/>
        </w:rPr>
        <w:t>” means any corporate purchasing contracts, master services agreements, vendor contracts, software and other Intellectual Property licenses or similar agreements used by a party to provide the Services.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Allocation Agreement</w:t>
      </w:r>
      <w:r>
        <w:rPr>
          <w:rFonts w:ascii="Arial" w:cs="Arial" w:eastAsia="Arial" w:hAnsi="Arial"/>
          <w:sz w:val="16"/>
          <w:szCs w:val="16"/>
          <w:color w:val="auto"/>
        </w:rPr>
        <w:t>” means the Amended and Restated Tax Allocation Agreement executed by the Parties and dated May 14, 2021.</w:t>
      </w:r>
    </w:p>
    <w:p>
      <w:pPr>
        <w:spacing w:after="0" w:line="144" w:lineRule="exact"/>
        <w:rPr>
          <w:sz w:val="20"/>
          <w:szCs w:val="20"/>
          <w:color w:val="auto"/>
        </w:rPr>
      </w:pPr>
    </w:p>
    <w:p>
      <w:pPr>
        <w:jc w:val="both"/>
        <w:ind w:firstLine="985"/>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means, collectively, all designs, formulas, algorithms, procedures, techniques, ideas, know-how, Software, programs, models, routines, confidential and proprietary information, databases, tools, inventions, invention disclosures, creations, improvements, works of authorship, and all recordings, graphs, drawings, reports, analyses, other writings, and any other embodiment of the above, in any form, whether or not specifically listed herein.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Terminated Service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9.01(g)</w:t>
      </w:r>
      <w:r>
        <w:rPr>
          <w:rFonts w:ascii="Arial" w:cs="Arial" w:eastAsia="Arial" w:hAnsi="Arial"/>
          <w:sz w:val="16"/>
          <w:szCs w:val="16"/>
          <w:color w:val="auto"/>
        </w:rPr>
        <w: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Trigger Date</w:t>
      </w:r>
      <w:r>
        <w:rPr>
          <w:rFonts w:ascii="Arial" w:cs="Arial" w:eastAsia="Arial" w:hAnsi="Arial"/>
          <w:sz w:val="15"/>
          <w:szCs w:val="15"/>
          <w:color w:val="auto"/>
        </w:rPr>
        <w:t>” means the first date on which Genworth ceases to beneficially own more than fifty percent (50%) of the outstanding Company Common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151" w:lineRule="exact"/>
        <w:rPr>
          <w:sz w:val="20"/>
          <w:szCs w:val="20"/>
          <w:color w:val="auto"/>
        </w:rPr>
      </w:pPr>
    </w:p>
    <w:p>
      <w:pPr>
        <w:ind w:left="980" w:right="1080"/>
        <w:spacing w:after="0" w:line="4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Undertakings</w:t>
      </w:r>
      <w:r>
        <w:rPr>
          <w:rFonts w:ascii="Arial" w:cs="Arial" w:eastAsia="Arial" w:hAnsi="Arial"/>
          <w:sz w:val="16"/>
          <w:szCs w:val="16"/>
          <w:color w:val="auto"/>
        </w:rPr>
        <w:t xml:space="preserve">” means, collectively, the obligations of Genworth and its Affiliates and the Company and its Affiliates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w:t>
      </w:r>
      <w:r>
        <w:rPr>
          <w:rFonts w:ascii="Arial" w:cs="Arial" w:eastAsia="Arial" w:hAnsi="Arial"/>
          <w:sz w:val="16"/>
          <w:szCs w:val="16"/>
          <w:u w:val="single" w:color="auto"/>
          <w:color w:val="auto"/>
        </w:rPr>
        <w:t>Vendor Agreements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3.01(b)</w:t>
      </w:r>
    </w:p>
    <w:p>
      <w:pPr>
        <w:jc w:val="both"/>
        <w:ind w:firstLine="985"/>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Virus</w:t>
      </w:r>
      <w:r>
        <w:rPr>
          <w:rFonts w:ascii="Arial" w:cs="Arial" w:eastAsia="Arial" w:hAnsi="Arial"/>
          <w:sz w:val="16"/>
          <w:szCs w:val="16"/>
          <w:color w:val="auto"/>
        </w:rPr>
        <w:t>” means computer instructions or other Software: (a) that adversely affect the operation, security or integrity of an Information System, by altering, destroying, disrupting or inhibiting such operation, security or integrity; (b) that without functional purpose, self-replicate without manual intervention; (c) that purport to perform a useful function but which actually perform either a destructive or harmful function, or perform no useful function and utilize substantial computer, telecommunications or memory resources; and/or (d) the effect of which is to permit unauthorized access to, or disable, erase, or otherwise harm, any computer, systems or Software.</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1.02</w:t>
      </w:r>
      <w:r>
        <w:rPr>
          <w:sz w:val="20"/>
          <w:szCs w:val="20"/>
          <w:color w:val="auto"/>
        </w:rPr>
        <w:tab/>
      </w:r>
      <w:r>
        <w:rPr>
          <w:rFonts w:ascii="Arial" w:cs="Arial" w:eastAsia="Arial" w:hAnsi="Arial"/>
          <w:sz w:val="15"/>
          <w:szCs w:val="15"/>
          <w:u w:val="single" w:color="auto"/>
          <w:color w:val="auto"/>
        </w:rPr>
        <w:t>Interpretation.</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In this Agreement (i) a reference to the provision by Genworth of a Genworth Service to the Company is a reference to the provision of the relevant Genworth Service by any member of the Genworth Group to any member of the Company Group; and (ii) a reference to the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097" w:right="319" w:bottom="1440" w:gutter="0" w:footer="0" w:header="0"/>
        </w:sectPr>
      </w:pPr>
    </w:p>
    <w:bookmarkStart w:id="207" w:name="page208"/>
    <w:bookmarkEnd w:id="207"/>
    <w:p>
      <w:pPr>
        <w:spacing w:after="0" w:line="245" w:lineRule="auto"/>
        <w:rPr>
          <w:sz w:val="20"/>
          <w:szCs w:val="20"/>
          <w:color w:val="auto"/>
        </w:rPr>
      </w:pPr>
      <w:r>
        <w:rPr>
          <w:rFonts w:ascii="Arial" w:cs="Arial" w:eastAsia="Arial" w:hAnsi="Arial"/>
          <w:sz w:val="16"/>
          <w:szCs w:val="16"/>
          <w:color w:val="auto"/>
        </w:rPr>
        <w:t>by the Company of a Company Service to Genworth is a reference to the provision of the relevant Company Service by any member of the Company Group to any member of the Genworth Group.</w:t>
      </w:r>
    </w:p>
    <w:p>
      <w:pPr>
        <w:spacing w:after="0" w:line="113"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Article II</w:t>
      </w:r>
    </w:p>
    <w:p>
      <w:pPr>
        <w:spacing w:after="0" w:line="14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SERVICES AND TERMS</w:t>
      </w:r>
    </w:p>
    <w:p>
      <w:pPr>
        <w:spacing w:after="0" w:line="14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2.01</w:t>
      </w:r>
      <w:r>
        <w:rPr>
          <w:sz w:val="20"/>
          <w:szCs w:val="20"/>
          <w:color w:val="auto"/>
        </w:rPr>
        <w:tab/>
      </w:r>
      <w:r>
        <w:rPr>
          <w:rFonts w:ascii="Arial" w:cs="Arial" w:eastAsia="Arial" w:hAnsi="Arial"/>
          <w:sz w:val="14"/>
          <w:szCs w:val="14"/>
          <w:u w:val="single" w:color="auto"/>
          <w:color w:val="auto"/>
        </w:rPr>
        <w:t>Services</w:t>
      </w:r>
    </w:p>
    <w:p>
      <w:pPr>
        <w:spacing w:after="0" w:line="144" w:lineRule="exact"/>
        <w:rPr>
          <w:sz w:val="20"/>
          <w:szCs w:val="20"/>
          <w:color w:val="auto"/>
        </w:rPr>
      </w:pPr>
    </w:p>
    <w:p>
      <w:pPr>
        <w:jc w:val="both"/>
        <w:ind w:left="120" w:firstLine="990"/>
        <w:spacing w:after="0" w:line="233" w:lineRule="auto"/>
        <w:tabs>
          <w:tab w:leader="none" w:pos="1471"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During the period commencing on the Effective Date and ending on the applicable Service Termination Date, subject to the terms and conditions set forth in this Agreement, Genworth shall provide or cause to be provided to the Company, whether for the benefit of the Company itself or for the applicable members of the Company Group, the services listed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Genworth Services</w:t>
      </w:r>
      <w:r>
        <w:rPr>
          <w:rFonts w:ascii="Arial" w:cs="Arial" w:eastAsia="Arial" w:hAnsi="Arial"/>
          <w:sz w:val="15"/>
          <w:szCs w:val="15"/>
          <w:color w:val="auto"/>
        </w:rPr>
        <w:t xml:space="preserve">”). The “Genworth Services” also shall include (i) any Services to be provided by Genworth to the Company as agreed pursuant to </w:t>
      </w:r>
      <w:r>
        <w:rPr>
          <w:rFonts w:ascii="Arial" w:cs="Arial" w:eastAsia="Arial" w:hAnsi="Arial"/>
          <w:sz w:val="15"/>
          <w:szCs w:val="15"/>
          <w:u w:val="single" w:color="auto"/>
          <w:color w:val="auto"/>
        </w:rPr>
        <w:t>Section 10.03</w:t>
      </w:r>
      <w:r>
        <w:rPr>
          <w:rFonts w:ascii="Arial" w:cs="Arial" w:eastAsia="Arial" w:hAnsi="Arial"/>
          <w:sz w:val="15"/>
          <w:szCs w:val="15"/>
          <w:color w:val="auto"/>
        </w:rPr>
        <w:t xml:space="preserve">, and (ii) any Genworth Substitute Service (as defined below);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(1) the scope of each Genworth Service shall be substantially the same as the scope of such service provided by Genworth to the Company the last time prior to the Effective Date (or, as applicable, in the most recent relevant period) that such service was provided by Genworth to the Company in the ordinary course, (2) the use of each Genworth Service by the Company, or any member of the Company Group, shall include use by the Company Group’s contractors in substantially the same manner as used by the contractors of the Company Group prior to the Effective Date and (3) except as provided in </w:t>
      </w:r>
      <w:r>
        <w:rPr>
          <w:rFonts w:ascii="Arial" w:cs="Arial" w:eastAsia="Arial" w:hAnsi="Arial"/>
          <w:sz w:val="15"/>
          <w:szCs w:val="15"/>
          <w:u w:val="single" w:color="auto"/>
          <w:color w:val="auto"/>
        </w:rPr>
        <w:t>Section 10.09</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10.03(d)</w:t>
      </w:r>
      <w:r>
        <w:rPr>
          <w:rFonts w:ascii="Arial" w:cs="Arial" w:eastAsia="Arial" w:hAnsi="Arial"/>
          <w:sz w:val="15"/>
          <w:szCs w:val="15"/>
          <w:color w:val="auto"/>
        </w:rPr>
        <w:t>), nothing in this Agreement shall require that any Genworth Service be provided other than for use in, or in connection with the Company Business. If, for any reason, Genworth is unable to provide or cause to be provided any Genworth Service to the Company pursuant to the terms of this Agreement, Genworth shall provide or cause to be provided to the Company, or any member of the Company Group, as applicable, a substantially equivalent service (a “</w:t>
      </w:r>
      <w:r>
        <w:rPr>
          <w:rFonts w:ascii="Arial" w:cs="Arial" w:eastAsia="Arial" w:hAnsi="Arial"/>
          <w:sz w:val="15"/>
          <w:szCs w:val="15"/>
          <w:u w:val="single" w:color="auto"/>
          <w:color w:val="auto"/>
        </w:rPr>
        <w:t>Genworth Substitute Service</w:t>
      </w:r>
      <w:r>
        <w:rPr>
          <w:rFonts w:ascii="Arial" w:cs="Arial" w:eastAsia="Arial" w:hAnsi="Arial"/>
          <w:sz w:val="15"/>
          <w:szCs w:val="15"/>
          <w:color w:val="auto"/>
        </w:rPr>
        <w:t xml:space="preserve">”) at or below the cost of the substituted Genworth Service as set forth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and otherwise in accordance with the terms of this Agreement, including the Standard for Services.</w:t>
      </w:r>
    </w:p>
    <w:p>
      <w:pPr>
        <w:spacing w:after="0" w:line="124" w:lineRule="exact"/>
        <w:rPr>
          <w:rFonts w:ascii="Arial" w:cs="Arial" w:eastAsia="Arial" w:hAnsi="Arial"/>
          <w:sz w:val="15"/>
          <w:szCs w:val="15"/>
          <w:color w:val="auto"/>
        </w:rPr>
      </w:pPr>
    </w:p>
    <w:p>
      <w:pPr>
        <w:jc w:val="both"/>
        <w:ind w:left="120" w:firstLine="990"/>
        <w:spacing w:after="0" w:line="247" w:lineRule="auto"/>
        <w:tabs>
          <w:tab w:leader="none" w:pos="147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 xml:space="preserve">During the period commencing on the Effective Date and ending on the applicable Service Termination Date, subject to the terms and conditions set forth in this Agreement, the Company shall provide or cause to be provided to Genworth, whether for Genworth itself or for the benefit of the Genworth Group and/or the Divested Units the services listed in </w:t>
      </w:r>
      <w:r>
        <w:rPr>
          <w:rFonts w:ascii="Arial" w:cs="Arial" w:eastAsia="Arial" w:hAnsi="Arial"/>
          <w:sz w:val="14"/>
          <w:szCs w:val="14"/>
          <w:u w:val="single" w:color="auto"/>
          <w:color w:val="auto"/>
        </w:rPr>
        <w:t>Schedule B</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Company Services</w:t>
      </w:r>
      <w:r>
        <w:rPr>
          <w:rFonts w:ascii="Arial" w:cs="Arial" w:eastAsia="Arial" w:hAnsi="Arial"/>
          <w:sz w:val="14"/>
          <w:szCs w:val="14"/>
          <w:color w:val="auto"/>
        </w:rPr>
        <w:t xml:space="preserve">”). The “Company Services” also shall include (i) any Services to be provided by the Company to Genworth as agreed pursuant to </w:t>
      </w:r>
      <w:r>
        <w:rPr>
          <w:rFonts w:ascii="Arial" w:cs="Arial" w:eastAsia="Arial" w:hAnsi="Arial"/>
          <w:sz w:val="14"/>
          <w:szCs w:val="14"/>
          <w:u w:val="single" w:color="auto"/>
          <w:color w:val="auto"/>
        </w:rPr>
        <w:t>Section 10.03</w:t>
      </w:r>
      <w:r>
        <w:rPr>
          <w:rFonts w:ascii="Arial" w:cs="Arial" w:eastAsia="Arial" w:hAnsi="Arial"/>
          <w:sz w:val="14"/>
          <w:szCs w:val="14"/>
          <w:color w:val="auto"/>
        </w:rPr>
        <w:t xml:space="preserve"> and (ii) any Company Substitute Service;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(1) the scope of each Company Service shall be substantially the same as the scope of such service provided by the Company to Genworth the last time prior to the Effective Date (or, as applicable, in the most recent relevant period) that such service was provided by the Company to Genworth in the ordinary course, (2) the use of each Company Service by Genworth shall include use by the Genworth Group’s contractors in substantially the same manner as used by the contractors of the Genworth Group prior to the Effective Date and</w:t>
      </w:r>
    </w:p>
    <w:p>
      <w:pPr>
        <w:spacing w:after="0" w:line="3" w:lineRule="exact"/>
        <w:rPr>
          <w:rFonts w:ascii="Arial" w:cs="Arial" w:eastAsia="Arial" w:hAnsi="Arial"/>
          <w:sz w:val="14"/>
          <w:szCs w:val="14"/>
          <w:color w:val="auto"/>
        </w:rPr>
      </w:pPr>
    </w:p>
    <w:p>
      <w:pPr>
        <w:jc w:val="both"/>
        <w:ind w:left="120" w:firstLine="5"/>
        <w:spacing w:after="0" w:line="221" w:lineRule="auto"/>
        <w:tabs>
          <w:tab w:leader="none" w:pos="35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10.03(d)</w:t>
      </w:r>
      <w:r>
        <w:rPr>
          <w:rFonts w:ascii="Arial" w:cs="Arial" w:eastAsia="Arial" w:hAnsi="Arial"/>
          <w:sz w:val="16"/>
          <w:szCs w:val="16"/>
          <w:color w:val="auto"/>
        </w:rPr>
        <w:t>), nothing in this Agreement shall require that any Company Service be provided other than for use in, or in connection with the Genworth Business. If, for any reason, the Company is unable to provide or cause to be provided any Company Service to Genworth pursuant to the terms of this Agreement, the Company shall provide or cause to be provided to Genworth a substantially equivalent service (a “</w:t>
      </w:r>
      <w:r>
        <w:rPr>
          <w:rFonts w:ascii="Arial" w:cs="Arial" w:eastAsia="Arial" w:hAnsi="Arial"/>
          <w:sz w:val="16"/>
          <w:szCs w:val="16"/>
          <w:u w:val="single" w:color="auto"/>
          <w:color w:val="auto"/>
        </w:rPr>
        <w:t>Company Substitute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xml:space="preserve">”) at or below the cost for the substituted Company Service as set forth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and otherwise in accordance with the terms of this Agreement, including the Standard for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097" w:right="319" w:bottom="1440" w:gutter="0" w:footer="0" w:header="0"/>
        </w:sectPr>
      </w:pPr>
    </w:p>
    <w:bookmarkStart w:id="208" w:name="page209"/>
    <w:bookmarkEnd w:id="208"/>
    <w:p>
      <w:pPr>
        <w:jc w:val="both"/>
        <w:ind w:firstLine="990"/>
        <w:spacing w:after="0" w:line="250" w:lineRule="auto"/>
        <w:tabs>
          <w:tab w:leader="none" w:pos="1351"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Omitted Services</w:t>
      </w:r>
      <w:r>
        <w:rPr>
          <w:rFonts w:ascii="Arial" w:cs="Arial" w:eastAsia="Arial" w:hAnsi="Arial"/>
          <w:sz w:val="14"/>
          <w:szCs w:val="14"/>
          <w:color w:val="auto"/>
        </w:rPr>
        <w:t>. The Parties each have used commercially reasonable efforts to identify and describe the Services. However, the Parties acknowledge and agree that there may be services which are not identified on the Schedules that (i) (A) were provided by a party or its Affiliates to the other party in the four (4) months prior to the Effective Date and (B) are necessary for the Company or Genworth, as applicable, to operate the manner that such party operated in the twelve (12) months prior to the Effective Date (collectively, the “</w:t>
      </w:r>
      <w:r>
        <w:rPr>
          <w:rFonts w:ascii="Arial" w:cs="Arial" w:eastAsia="Arial" w:hAnsi="Arial"/>
          <w:sz w:val="14"/>
          <w:szCs w:val="14"/>
          <w:u w:val="single" w:color="auto"/>
          <w:color w:val="auto"/>
        </w:rPr>
        <w:t>Omitted Services</w:t>
      </w:r>
      <w:r>
        <w:rPr>
          <w:rFonts w:ascii="Arial" w:cs="Arial" w:eastAsia="Arial" w:hAnsi="Arial"/>
          <w:sz w:val="14"/>
          <w:szCs w:val="14"/>
          <w:color w:val="auto"/>
        </w:rPr>
        <w:t xml:space="preserve">”). Each party may provide written notice to the other party requesting such Omitted Services setting forth in reasonable detail a description of the requested Omitted Service(s) and the proposed start date (a) at any time during the first one hundred and twenty (120) days following the Effective Date. The Parties agree to cooperate and negotiate in good faith using commercially reasonable efforts in order to come to an agreement regarding the provision of Omitted Services on reasonable terms and conditions that are mutually agreed to by the Parties; provided, however, that (x) the Omitted Services shall be provided in substantially the same manner and on substantially similar terms and conditions as were applicable prior to the Effective Date and the price for such Omitted Services shall be set in accordance with the methodologies set forth in </w:t>
      </w:r>
      <w:r>
        <w:rPr>
          <w:rFonts w:ascii="Arial" w:cs="Arial" w:eastAsia="Arial" w:hAnsi="Arial"/>
          <w:sz w:val="14"/>
          <w:szCs w:val="14"/>
          <w:u w:val="single" w:color="auto"/>
          <w:color w:val="auto"/>
        </w:rPr>
        <w:t>Section 5.01</w:t>
      </w:r>
      <w:r>
        <w:rPr>
          <w:rFonts w:ascii="Arial" w:cs="Arial" w:eastAsia="Arial" w:hAnsi="Arial"/>
          <w:sz w:val="14"/>
          <w:szCs w:val="14"/>
          <w:color w:val="auto"/>
        </w:rPr>
        <w:t>, (y) the Provider shall be afforded a reasonable period of time to commence providing any Omitted Service after such service becomes a Service, and (z) in no event shall a Provider be obligated to provide an Excluded Service, an Omitted Service that, as of the Effective Date, is being performed by a third party, and/or an Omitted Service that the Provider no longer provides to itself or any of its Affiliates. Any Omitted Services shall in all respects be subject to the terms of this Agreement, shall be considered added to Schedule A or Schedule B, as applicable, shall constitute an amendment to this Agreement which shall be signed by the Parties and shall thereafter be considered a Service. Unless otherwise agreed by the Parties, the term for such Omitted Services shall be no later than the latest Service Termination Date of the Services on Schedule A or Schedule B, as applicable.</w:t>
      </w:r>
    </w:p>
    <w:p>
      <w:pPr>
        <w:spacing w:after="0" w:line="114" w:lineRule="exact"/>
        <w:rPr>
          <w:rFonts w:ascii="Arial" w:cs="Arial" w:eastAsia="Arial" w:hAnsi="Arial"/>
          <w:sz w:val="14"/>
          <w:szCs w:val="14"/>
          <w:color w:val="auto"/>
        </w:rPr>
      </w:pPr>
    </w:p>
    <w:p>
      <w:pPr>
        <w:jc w:val="both"/>
        <w:ind w:firstLine="990"/>
        <w:spacing w:after="0" w:line="223" w:lineRule="auto"/>
        <w:tabs>
          <w:tab w:leader="none" w:pos="135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Additional Services</w:t>
      </w:r>
      <w:r>
        <w:rPr>
          <w:rFonts w:ascii="Arial" w:cs="Arial" w:eastAsia="Arial" w:hAnsi="Arial"/>
          <w:sz w:val="16"/>
          <w:szCs w:val="16"/>
          <w:color w:val="auto"/>
        </w:rPr>
        <w:t>. After the Effective Date, Genworth or the Company, as applicable, may submit a written request for services to the other party that are not Services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xml:space="preserve">”). The party to whom such request is made shall consider such request in good faith and if such party agrees to provide an Additional Service then a representative of each party shall in good faith negotiate the applicable terms of such Additional Service, including a description in of the service, term, and fees for such Additional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to by the Parties, the Recipient shall pay all nonrecurring out-of-pocket and set up costs incurred by the Provider in connection with its provision of the Additional Services as Other Costs under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the Recipient must pay those Other Costs in accordance with this Agreement.</w:t>
      </w:r>
    </w:p>
    <w:p>
      <w:pPr>
        <w:spacing w:after="0" w:line="123" w:lineRule="exact"/>
        <w:rPr>
          <w:rFonts w:ascii="Arial" w:cs="Arial" w:eastAsia="Arial" w:hAnsi="Arial"/>
          <w:sz w:val="16"/>
          <w:szCs w:val="16"/>
          <w:color w:val="auto"/>
        </w:rPr>
      </w:pPr>
    </w:p>
    <w:p>
      <w:pPr>
        <w:jc w:val="both"/>
        <w:ind w:firstLine="990"/>
        <w:spacing w:after="0" w:line="222" w:lineRule="auto"/>
        <w:tabs>
          <w:tab w:leader="none" w:pos="135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This Agreement shall not assign any rights to Technology or Intellectual Property between the Parties other than as specifically set forth herein. Except as set out in this Agreement, as between the Parties, all Intellectual Property controlled by a Provider as of the Effective Date in respect of Services to be provided by that Provider as at the date of this Agreement will remain controlled by that Provider. Except as set out in this Agreement, if a Provider agrees to provide Additional Services, as between the Parties, all Intellectual Property controlled by the Provider at the time it receives the request for the Additional Services in respect of those Additional Services will remain controlled by that Provider. Except as set out in </w:t>
      </w:r>
      <w:r>
        <w:rPr>
          <w:rFonts w:ascii="Arial" w:cs="Arial" w:eastAsia="Arial" w:hAnsi="Arial"/>
          <w:sz w:val="16"/>
          <w:szCs w:val="16"/>
          <w:u w:val="single" w:color="auto"/>
          <w:color w:val="auto"/>
        </w:rPr>
        <w:t>Section 2.01(h)</w:t>
      </w:r>
      <w:r>
        <w:rPr>
          <w:rFonts w:ascii="Arial" w:cs="Arial" w:eastAsia="Arial" w:hAnsi="Arial"/>
          <w:sz w:val="16"/>
          <w:szCs w:val="16"/>
          <w:color w:val="auto"/>
        </w:rPr>
        <w:t xml:space="preserve"> or as may otherwise be agreed by the Parties at the time, if a Provider develops any new Intellectual Property or any Improvement in the course of providing any Services or Additional Services under this Agreement, the Provider owns all such Intellectual Property.</w:t>
      </w:r>
    </w:p>
    <w:p>
      <w:pPr>
        <w:spacing w:after="0" w:line="121" w:lineRule="exact"/>
        <w:rPr>
          <w:rFonts w:ascii="Arial" w:cs="Arial" w:eastAsia="Arial" w:hAnsi="Arial"/>
          <w:sz w:val="16"/>
          <w:szCs w:val="16"/>
          <w:color w:val="auto"/>
        </w:rPr>
      </w:pPr>
    </w:p>
    <w:p>
      <w:pPr>
        <w:ind w:firstLine="990"/>
        <w:spacing w:after="0" w:line="245" w:lineRule="auto"/>
        <w:tabs>
          <w:tab w:leader="none" w:pos="135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the extent that any member of the Company Group as a Provider requires the use of any of Genworth’s Intellectual Property, or any member of the Genworth Group as a Provider requires the use of any of Company’s Intellectual Property, to provide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60"/>
          </w:cols>
          <w:pgMar w:left="420" w:top="1098" w:right="319" w:bottom="1440" w:gutter="0" w:footer="0" w:header="0"/>
        </w:sectPr>
      </w:pPr>
    </w:p>
    <w:bookmarkStart w:id="209" w:name="page210"/>
    <w:bookmarkEnd w:id="209"/>
    <w:p>
      <w:pPr>
        <w:spacing w:after="0" w:line="245" w:lineRule="auto"/>
        <w:rPr>
          <w:sz w:val="20"/>
          <w:szCs w:val="20"/>
          <w:color w:val="auto"/>
        </w:rPr>
      </w:pPr>
      <w:r>
        <w:rPr>
          <w:rFonts w:ascii="Arial" w:cs="Arial" w:eastAsia="Arial" w:hAnsi="Arial"/>
          <w:sz w:val="16"/>
          <w:szCs w:val="16"/>
          <w:color w:val="auto"/>
        </w:rPr>
        <w:t>Services or Additional Services under this Agreement, the relevant Recipient hereby grants a license of the relevant Intellectual Property subject to the following limitations:</w:t>
      </w:r>
    </w:p>
    <w:p>
      <w:pPr>
        <w:spacing w:after="0" w:line="117" w:lineRule="exact"/>
        <w:rPr>
          <w:sz w:val="20"/>
          <w:szCs w:val="20"/>
          <w:color w:val="auto"/>
        </w:rPr>
      </w:pPr>
    </w:p>
    <w:p>
      <w:pPr>
        <w:jc w:val="both"/>
        <w:ind w:left="380" w:firstLine="979"/>
        <w:spacing w:after="0" w:line="233" w:lineRule="auto"/>
        <w:tabs>
          <w:tab w:leader="none" w:pos="184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purpose for which the relevant Intellectual Property may be used is for the sole and limited purpose of delivering the Services or Additional Services under this Agreement and not for use by, as applicable, the Company or a member of the Company Group in the Company Business or by Genworth or a member of the Genworth Group in the Genworth Business; and</w:t>
      </w:r>
    </w:p>
    <w:p>
      <w:pPr>
        <w:spacing w:after="0" w:line="120" w:lineRule="exact"/>
        <w:rPr>
          <w:rFonts w:ascii="Arial" w:cs="Arial" w:eastAsia="Arial" w:hAnsi="Arial"/>
          <w:sz w:val="16"/>
          <w:szCs w:val="16"/>
          <w:color w:val="auto"/>
        </w:rPr>
      </w:pPr>
    </w:p>
    <w:p>
      <w:pPr>
        <w:ind w:left="1840" w:hanging="481"/>
        <w:spacing w:after="0"/>
        <w:tabs>
          <w:tab w:leader="none" w:pos="184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the relevant Intellectual Property may be used by the relevant Provider in such limited territory as is required to provide the Services or</w:t>
      </w:r>
    </w:p>
    <w:p>
      <w:pPr>
        <w:spacing w:after="0" w:line="5"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Additional Services.</w:t>
      </w:r>
    </w:p>
    <w:p>
      <w:pPr>
        <w:spacing w:after="0" w:line="130" w:lineRule="exact"/>
        <w:rPr>
          <w:rFonts w:ascii="Arial" w:cs="Arial" w:eastAsia="Arial" w:hAnsi="Arial"/>
          <w:sz w:val="15"/>
          <w:szCs w:val="15"/>
          <w:color w:val="auto"/>
        </w:rPr>
      </w:pPr>
    </w:p>
    <w:p>
      <w:pPr>
        <w:jc w:val="both"/>
        <w:ind w:firstLine="990"/>
        <w:spacing w:after="0" w:line="228" w:lineRule="auto"/>
        <w:tabs>
          <w:tab w:leader="none" w:pos="135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between the Recipient and the Provider, all Intellectual Property in Recipient Data is owned by the Recipient, and by this Agreement the Provider hereby assigns absolutely, at no additional cost, all right, title and interest, including all Intellectual Property, in and to the Recipient Data, so that all such right, title and interest, worldwide vests in the Recipient on the Effective Date of this Agreement or where such Recipient Data is newly created Recipient Data, vests immediately and automatically in the Recipient on creation, in each case, without any additional consideration;</w:t>
      </w:r>
    </w:p>
    <w:p>
      <w:pPr>
        <w:spacing w:after="0" w:line="121" w:lineRule="exact"/>
        <w:rPr>
          <w:rFonts w:ascii="Arial" w:cs="Arial" w:eastAsia="Arial" w:hAnsi="Arial"/>
          <w:sz w:val="16"/>
          <w:szCs w:val="16"/>
          <w:color w:val="auto"/>
        </w:rPr>
      </w:pPr>
    </w:p>
    <w:p>
      <w:pPr>
        <w:jc w:val="both"/>
        <w:ind w:firstLine="990"/>
        <w:spacing w:after="0" w:line="233" w:lineRule="auto"/>
        <w:tabs>
          <w:tab w:leader="none" w:pos="135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 xml:space="preserve">If a Recipient requests that a Provider develop any new Intellectual Property, whether in respect of any Services or Additional Services, or any Improvement, the Parties will agree upon the ownership of the new Intellectual Property or Improvement at the time of the request from the Recipient and before the Provider develops the new Intellectual Property or Improvement, and in the absence of such agreement being reached at that time, as between the Parties, if the new Intellectual Property or Improvement is created exclusively for the use of the Recipient in its business and the Recipient is required to pay any amount (as agreed upon in writing by the Provider and the Recipient) to the Provider in relation to the creation of the new Intellectual Property or Improvement and the Recipient pays all such amounts to the Provider, the Recipient will own such Intellectual Property and by this Agreement, the Provider hereby assigns absolutely, at no additional cost, all right, title and interest in and to the new Intellectual Property or Improvement (and for the avoidance of doubt, other than in respect of any part of the new Intellectual Property or Improvement in existence immediately before the request from the Recipient under this paragraph), so that all such right, title and interest, worldwide vests in the Recipient on payment of all such amounts by the Recipient to the Provider, and if the new Intellectual Property or Improvement is not created exclusively for the use of the Recipient in its business or the Recipient is not required to pay any amount to the Provider in relation to the creation of the new Intellectual Property or Improvement, the Provider will own such Intellectual Property under </w:t>
      </w:r>
      <w:r>
        <w:rPr>
          <w:rFonts w:ascii="Arial" w:cs="Arial" w:eastAsia="Arial" w:hAnsi="Arial"/>
          <w:sz w:val="15"/>
          <w:szCs w:val="15"/>
          <w:u w:val="single" w:color="auto"/>
          <w:color w:val="auto"/>
        </w:rPr>
        <w:t>Section 2.01(e).</w:t>
      </w:r>
      <w:r>
        <w:rPr>
          <w:rFonts w:ascii="Arial" w:cs="Arial" w:eastAsia="Arial" w:hAnsi="Arial"/>
          <w:sz w:val="15"/>
          <w:szCs w:val="15"/>
          <w:color w:val="auto"/>
        </w:rPr>
        <w:t xml:space="preserve"> Notwithstanding the foregoing, to the extent that a Provider develops any Improvement to Recipient’s Intellectual Property, the Recipient (or its designee) shall own all such Intellectual Property.</w:t>
      </w:r>
    </w:p>
    <w:p>
      <w:pPr>
        <w:spacing w:after="0" w:line="124" w:lineRule="exact"/>
        <w:rPr>
          <w:rFonts w:ascii="Arial" w:cs="Arial" w:eastAsia="Arial" w:hAnsi="Arial"/>
          <w:sz w:val="15"/>
          <w:szCs w:val="15"/>
          <w:color w:val="auto"/>
        </w:rPr>
      </w:pPr>
    </w:p>
    <w:p>
      <w:pPr>
        <w:ind w:left="1360" w:hanging="370"/>
        <w:spacing w:after="0"/>
        <w:tabs>
          <w:tab w:leader="none" w:pos="13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the extent that:</w:t>
      </w:r>
    </w:p>
    <w:p>
      <w:pPr>
        <w:spacing w:after="0" w:line="144" w:lineRule="exact"/>
        <w:rPr>
          <w:rFonts w:ascii="Arial" w:cs="Arial" w:eastAsia="Arial" w:hAnsi="Arial"/>
          <w:sz w:val="16"/>
          <w:szCs w:val="16"/>
          <w:color w:val="auto"/>
        </w:rPr>
      </w:pPr>
    </w:p>
    <w:p>
      <w:pPr>
        <w:jc w:val="both"/>
        <w:ind w:left="860" w:firstLine="992"/>
        <w:spacing w:after="0" w:line="228" w:lineRule="auto"/>
        <w:tabs>
          <w:tab w:leader="none" w:pos="2329" w:val="left"/>
        </w:tabs>
        <w:numPr>
          <w:ilvl w:val="2"/>
          <w:numId w:val="110"/>
        </w:numPr>
        <w:rPr>
          <w:rFonts w:ascii="Arial" w:cs="Arial" w:eastAsia="Arial" w:hAnsi="Arial"/>
          <w:sz w:val="16"/>
          <w:szCs w:val="16"/>
          <w:color w:val="auto"/>
        </w:rPr>
      </w:pPr>
      <w:r>
        <w:rPr>
          <w:rFonts w:ascii="Arial" w:cs="Arial" w:eastAsia="Arial" w:hAnsi="Arial"/>
          <w:sz w:val="16"/>
          <w:szCs w:val="16"/>
          <w:color w:val="auto"/>
        </w:rPr>
        <w:t>any Recipient Data was in the possession or control of the Provider and used in the business of the Provider (other than for the sole purpose of providing services to the Recipient) before the date of this Agreement, the Recipient hereby grants to the Provider a perpetual, irrevocable, fully paid up, royalty-free, non-exclusive, non-transferable license with no right to sublicense (other than to Affiliates of the Provider) to use and modify the Recipient Data in the business of the Provider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60"/>
          </w:cols>
          <w:pgMar w:left="420" w:top="1097" w:right="319" w:bottom="1440" w:gutter="0" w:footer="0" w:header="0"/>
        </w:sectPr>
      </w:pPr>
    </w:p>
    <w:bookmarkStart w:id="210" w:name="page211"/>
    <w:bookmarkEnd w:id="210"/>
    <w:p>
      <w:pPr>
        <w:jc w:val="both"/>
        <w:ind w:left="860" w:firstLine="992"/>
        <w:spacing w:after="0" w:line="228" w:lineRule="auto"/>
        <w:tabs>
          <w:tab w:leader="none" w:pos="233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Provider requires the use of any Recipient Data, new Intellectual Property or Improvement owned by the Recipient under this Agreement to provide any Services or Additional Services under this Agreement, the Recipient hereby grants to the Provider, a fully paid up, royalty-free, non-exclusive, non-transferable license, of such Recipient Data, new Intellectual Property or Improvement, with the right to sublicense, for the sole purpose of delivering the Services or Additional Services under this Agreement; and</w:t>
      </w:r>
    </w:p>
    <w:p>
      <w:pPr>
        <w:spacing w:after="0" w:line="121" w:lineRule="exact"/>
        <w:rPr>
          <w:rFonts w:ascii="Arial" w:cs="Arial" w:eastAsia="Arial" w:hAnsi="Arial"/>
          <w:sz w:val="16"/>
          <w:szCs w:val="16"/>
          <w:color w:val="auto"/>
        </w:rPr>
      </w:pPr>
    </w:p>
    <w:p>
      <w:pPr>
        <w:jc w:val="both"/>
        <w:ind w:left="860" w:firstLine="992"/>
        <w:spacing w:after="0" w:line="233" w:lineRule="auto"/>
        <w:tabs>
          <w:tab w:leader="none" w:pos="233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new Intellectual Property or Improvement is owned by the Provider under this Agreement, the Provider grants the Recipient a perpetual, irrevocable, fully paid up, royalty-free, non-exclusive, non-transferable license, with no right to sublicense (other than to Affiliates of the Recipient), to use and modify the new Intellectual Property or Improvement in the business of the Recipient and its Affiliates.</w:t>
      </w:r>
    </w:p>
    <w:p>
      <w:pPr>
        <w:spacing w:after="0" w:line="120" w:lineRule="exact"/>
        <w:rPr>
          <w:rFonts w:ascii="Arial" w:cs="Arial" w:eastAsia="Arial" w:hAnsi="Arial"/>
          <w:sz w:val="16"/>
          <w:szCs w:val="16"/>
          <w:color w:val="auto"/>
        </w:rPr>
      </w:pPr>
    </w:p>
    <w:p>
      <w:pPr>
        <w:jc w:val="both"/>
        <w:ind w:firstLine="990"/>
        <w:spacing w:after="0" w:line="233" w:lineRule="auto"/>
        <w:tabs>
          <w:tab w:leader="none" w:pos="13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addition to the Service Charges, the Parties hereto acknowledge and agree that, in connection with the initial implementation, provision, receipt and transition of the Services, there will be certain nonrecurring, out-of-pocket costs incurred by Genworth or the Company. Each party shall pay its own such costs as they are incurred. For greater certainty, such costs shall not constitute “Other Costs” for purposes of </w:t>
      </w:r>
      <w:r>
        <w:rPr>
          <w:rFonts w:ascii="Arial" w:cs="Arial" w:eastAsia="Arial" w:hAnsi="Arial"/>
          <w:sz w:val="16"/>
          <w:szCs w:val="16"/>
          <w:u w:val="single" w:color="auto"/>
          <w:color w:val="auto"/>
        </w:rPr>
        <w:t>Section 5.02</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firstLine="990"/>
        <w:spacing w:after="0" w:line="245" w:lineRule="auto"/>
        <w:tabs>
          <w:tab w:leader="none" w:pos="13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Throughout the term of this Agreement, the Provider and the Recipient of any Service shall cooperate with one another and use their good faith, commercially reasonable efforts to effect the efficient, timely and seamless provision and receipt of such Service.</w:t>
      </w:r>
    </w:p>
    <w:p>
      <w:pPr>
        <w:spacing w:after="0" w:line="117" w:lineRule="exact"/>
        <w:rPr>
          <w:sz w:val="20"/>
          <w:szCs w:val="20"/>
          <w:color w:val="auto"/>
        </w:rPr>
      </w:pPr>
    </w:p>
    <w:p>
      <w:pPr>
        <w:ind w:left="380"/>
        <w:spacing w:after="0"/>
        <w:tabs>
          <w:tab w:leader="none" w:pos="1520" w:val="left"/>
        </w:tabs>
        <w:rPr>
          <w:sz w:val="20"/>
          <w:szCs w:val="20"/>
          <w:color w:val="auto"/>
        </w:rPr>
      </w:pPr>
      <w:r>
        <w:rPr>
          <w:rFonts w:ascii="Arial" w:cs="Arial" w:eastAsia="Arial" w:hAnsi="Arial"/>
          <w:sz w:val="16"/>
          <w:szCs w:val="16"/>
          <w:color w:val="auto"/>
        </w:rPr>
        <w:t>Section 2.02</w:t>
      </w:r>
      <w:r>
        <w:rPr>
          <w:sz w:val="20"/>
          <w:szCs w:val="20"/>
          <w:color w:val="auto"/>
        </w:rPr>
        <w:tab/>
      </w:r>
      <w:r>
        <w:rPr>
          <w:rFonts w:ascii="Arial" w:cs="Arial" w:eastAsia="Arial" w:hAnsi="Arial"/>
          <w:sz w:val="14"/>
          <w:szCs w:val="14"/>
          <w:u w:val="single" w:color="auto"/>
          <w:color w:val="auto"/>
        </w:rPr>
        <w:t>Information Systems Services</w:t>
      </w:r>
      <w:r>
        <w:rPr>
          <w:rFonts w:ascii="Arial" w:cs="Arial" w:eastAsia="Arial" w:hAnsi="Arial"/>
          <w:sz w:val="14"/>
          <w:szCs w:val="14"/>
          <w:color w:val="auto"/>
        </w:rPr>
        <w:t>.</w:t>
      </w:r>
    </w:p>
    <w:p>
      <w:pPr>
        <w:spacing w:after="0" w:line="144" w:lineRule="exact"/>
        <w:rPr>
          <w:sz w:val="20"/>
          <w:szCs w:val="20"/>
          <w:color w:val="auto"/>
        </w:rPr>
      </w:pPr>
    </w:p>
    <w:p>
      <w:pPr>
        <w:ind w:left="1360" w:hanging="370"/>
        <w:spacing w:after="0"/>
        <w:tabs>
          <w:tab w:leader="none" w:pos="13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Any Services relating to Information Systems shall be provided consistent and in accordance with the Data Security and Cybersecurity Program.</w:t>
      </w:r>
    </w:p>
    <w:p>
      <w:pPr>
        <w:spacing w:after="0" w:line="155" w:lineRule="exact"/>
        <w:rPr>
          <w:rFonts w:ascii="Arial" w:cs="Arial" w:eastAsia="Arial" w:hAnsi="Arial"/>
          <w:sz w:val="15"/>
          <w:szCs w:val="15"/>
          <w:color w:val="auto"/>
        </w:rPr>
      </w:pPr>
    </w:p>
    <w:p>
      <w:pPr>
        <w:jc w:val="both"/>
        <w:ind w:firstLine="990"/>
        <w:spacing w:after="0" w:line="228" w:lineRule="auto"/>
        <w:tabs>
          <w:tab w:leader="none" w:pos="135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During the term of this Agreement, each party shall implement practices to scan, prior to coding or introducing elements into the Services and/or Information Systems, for Viruses or similar items that are consistent and in accordance with the Data Security and Cybersecurity Program. If a Virus or any similar item is found to have been introduced into the Services or Information Systems, the Parties shall use their commercially reasonable efforts to cooperate and to diligently work together to remedy the effects of such Virus or similar item.</w:t>
      </w:r>
    </w:p>
    <w:p>
      <w:pPr>
        <w:spacing w:after="0" w:line="121" w:lineRule="exact"/>
        <w:rPr>
          <w:rFonts w:ascii="Arial" w:cs="Arial" w:eastAsia="Arial" w:hAnsi="Arial"/>
          <w:sz w:val="16"/>
          <w:szCs w:val="16"/>
          <w:color w:val="auto"/>
        </w:rPr>
      </w:pPr>
    </w:p>
    <w:p>
      <w:pPr>
        <w:ind w:left="1360" w:hanging="370"/>
        <w:spacing w:after="0"/>
        <w:tabs>
          <w:tab w:leader="none" w:pos="136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Computer Based Resources</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left="380" w:firstLine="979"/>
        <w:spacing w:after="0" w:line="222" w:lineRule="auto"/>
        <w:tabs>
          <w:tab w:leader="none" w:pos="184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Prior to the Trigger Date, Company shall continue to have reasonable access to the Information Systems of Genworth (whether directly or remotely, and including reasonable physical or logical entry or access) consistent and in accordance with the Data Protection and Cyber Security Policy. On and after the Trigger Date, Company shall not have access to all or any part of the Information Systems of Genworth, except to the extent, and consistent and in accordance with the Data Protection and Cyber Security Policy, necessary for Company to perform Company Services or receive and enjoy the full benefit of, the Genworth Services (subject to Company complying with Genworth’s security policies, procedures and requirements (including physical security, network access, and confidentiality and personal data security guidelines); </w:t>
      </w:r>
      <w:r>
        <w:rPr>
          <w:rFonts w:ascii="Arial" w:cs="Arial" w:eastAsia="Arial" w:hAnsi="Arial"/>
          <w:sz w:val="16"/>
          <w:szCs w:val="16"/>
          <w:u w:val="single" w:color="auto"/>
          <w:color w:val="auto"/>
        </w:rPr>
        <w:t>provided</w:t>
      </w:r>
      <w:r>
        <w:rPr>
          <w:rFonts w:ascii="Arial" w:cs="Arial" w:eastAsia="Arial" w:hAnsi="Arial"/>
          <w:sz w:val="16"/>
          <w:szCs w:val="16"/>
          <w:color w:val="auto"/>
        </w:rPr>
        <w:t>, that Company has had a commercially reasonable period of time in which to comply with such security measures).</w:t>
      </w:r>
    </w:p>
    <w:p>
      <w:pPr>
        <w:spacing w:after="0" w:line="121" w:lineRule="exact"/>
        <w:rPr>
          <w:rFonts w:ascii="Arial" w:cs="Arial" w:eastAsia="Arial" w:hAnsi="Arial"/>
          <w:sz w:val="16"/>
          <w:szCs w:val="16"/>
          <w:color w:val="auto"/>
        </w:rPr>
      </w:pPr>
    </w:p>
    <w:p>
      <w:pPr>
        <w:ind w:left="1840" w:hanging="481"/>
        <w:spacing w:after="0"/>
        <w:tabs>
          <w:tab w:leader="none" w:pos="1840" w:val="left"/>
        </w:tabs>
        <w:numPr>
          <w:ilvl w:val="1"/>
          <w:numId w:val="113"/>
        </w:numPr>
        <w:rPr>
          <w:rFonts w:ascii="Arial" w:cs="Arial" w:eastAsia="Arial" w:hAnsi="Arial"/>
          <w:sz w:val="15"/>
          <w:szCs w:val="15"/>
          <w:color w:val="auto"/>
        </w:rPr>
      </w:pPr>
      <w:r>
        <w:rPr>
          <w:rFonts w:ascii="Arial" w:cs="Arial" w:eastAsia="Arial" w:hAnsi="Arial"/>
          <w:sz w:val="15"/>
          <w:szCs w:val="15"/>
          <w:color w:val="auto"/>
        </w:rPr>
        <w:t>Prior to the Trigger Date, Genworth shall continue to have reasonable access to the Information Systems of Company (whether directly or</w:t>
      </w:r>
    </w:p>
    <w:p>
      <w:pPr>
        <w:spacing w:after="0" w:line="5"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remotely,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60"/>
          </w:cols>
          <w:pgMar w:left="420" w:top="1098" w:right="319" w:bottom="1440" w:gutter="0" w:footer="0" w:header="0"/>
        </w:sectPr>
      </w:pPr>
    </w:p>
    <w:bookmarkStart w:id="211" w:name="page212"/>
    <w:bookmarkEnd w:id="211"/>
    <w:p>
      <w:pPr>
        <w:jc w:val="both"/>
        <w:ind w:left="500"/>
        <w:spacing w:after="0" w:line="225" w:lineRule="auto"/>
        <w:rPr>
          <w:sz w:val="20"/>
          <w:szCs w:val="20"/>
          <w:color w:val="auto"/>
        </w:rPr>
      </w:pPr>
      <w:r>
        <w:rPr>
          <w:rFonts w:ascii="Arial" w:cs="Arial" w:eastAsia="Arial" w:hAnsi="Arial"/>
          <w:sz w:val="16"/>
          <w:szCs w:val="16"/>
          <w:color w:val="auto"/>
        </w:rPr>
        <w:t xml:space="preserve">and including reasonable physical or logical entry or access). On and after the Trigger Date, Genworth shall not have access to all or any part of the Information Systems of Company, except to the extent necessary for Genworth to perform the Genworth Services or receive and enjoy the full benefit of, Company Services (subject to Genworth complying with the Company’s security policies, procedures and requirements (including physical security, network access, and confidentiality and personal data security guidelines); </w:t>
      </w:r>
      <w:r>
        <w:rPr>
          <w:rFonts w:ascii="Arial" w:cs="Arial" w:eastAsia="Arial" w:hAnsi="Arial"/>
          <w:sz w:val="16"/>
          <w:szCs w:val="16"/>
          <w:u w:val="single" w:color="auto"/>
          <w:color w:val="auto"/>
        </w:rPr>
        <w:t>provided</w:t>
      </w:r>
      <w:r>
        <w:rPr>
          <w:rFonts w:ascii="Arial" w:cs="Arial" w:eastAsia="Arial" w:hAnsi="Arial"/>
          <w:sz w:val="16"/>
          <w:szCs w:val="16"/>
          <w:color w:val="auto"/>
        </w:rPr>
        <w:t>, that Genworth has had a commercially reasonable period of time in which to comply with such security measures).</w:t>
      </w:r>
    </w:p>
    <w:p>
      <w:pPr>
        <w:spacing w:after="0" w:line="122" w:lineRule="exact"/>
        <w:rPr>
          <w:sz w:val="20"/>
          <w:szCs w:val="20"/>
          <w:color w:val="auto"/>
        </w:rPr>
      </w:pPr>
    </w:p>
    <w:p>
      <w:pPr>
        <w:jc w:val="both"/>
        <w:ind w:left="120" w:firstLine="990"/>
        <w:spacing w:after="0" w:line="233" w:lineRule="auto"/>
        <w:tabs>
          <w:tab w:leader="none" w:pos="147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Changes to Services</w:t>
      </w:r>
      <w:r>
        <w:rPr>
          <w:rFonts w:ascii="Arial" w:cs="Arial" w:eastAsia="Arial" w:hAnsi="Arial"/>
          <w:sz w:val="16"/>
          <w:szCs w:val="16"/>
          <w:color w:val="auto"/>
        </w:rPr>
        <w:t>. A Provider may (i) reasonably supplement, modify, substitute or otherwise alter the manner in which the Services are provided or (ii) change the Services in order to comply with any requirements under applicable Law; provided that in either case of clause (i) or (ii) such supplement, modification, substitute or other alteration or change does not affect the quality of the Services in any material respect.</w:t>
      </w:r>
    </w:p>
    <w:p>
      <w:pPr>
        <w:spacing w:after="0" w:line="121"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2.03</w:t>
      </w:r>
      <w:r>
        <w:rPr>
          <w:sz w:val="20"/>
          <w:szCs w:val="20"/>
          <w:color w:val="auto"/>
        </w:rPr>
        <w:tab/>
      </w:r>
      <w:r>
        <w:rPr>
          <w:rFonts w:ascii="Arial" w:cs="Arial" w:eastAsia="Arial" w:hAnsi="Arial"/>
          <w:sz w:val="15"/>
          <w:szCs w:val="15"/>
          <w:u w:val="single" w:color="auto"/>
          <w:color w:val="auto"/>
        </w:rPr>
        <w:t>Additional Support</w:t>
      </w:r>
      <w:r>
        <w:rPr>
          <w:rFonts w:ascii="Arial" w:cs="Arial" w:eastAsia="Arial" w:hAnsi="Arial"/>
          <w:sz w:val="15"/>
          <w:szCs w:val="15"/>
          <w:color w:val="auto"/>
        </w:rPr>
        <w:t>.</w:t>
      </w:r>
    </w:p>
    <w:p>
      <w:pPr>
        <w:spacing w:after="0" w:line="144" w:lineRule="exact"/>
        <w:rPr>
          <w:sz w:val="20"/>
          <w:szCs w:val="20"/>
          <w:color w:val="auto"/>
        </w:rPr>
      </w:pPr>
    </w:p>
    <w:p>
      <w:pPr>
        <w:jc w:val="both"/>
        <w:ind w:left="120" w:firstLine="990"/>
        <w:spacing w:after="0" w:line="233" w:lineRule="auto"/>
        <w:tabs>
          <w:tab w:leader="none" w:pos="147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Genworth shall provide, or cause to be provided, the following support, which support shall be in addition to the Genworth Services described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 cost to the Company Group except for any applicable Other Costs to be determined and paid in accordance with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left="500" w:firstLine="979"/>
        <w:spacing w:after="0" w:line="233" w:lineRule="auto"/>
        <w:tabs>
          <w:tab w:leader="none" w:pos="196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Genworth shall provide, or cause to be provided, current and reasonably available historical data related to the Genworth Services as reasonably required by the Company, or a member of the Company Group, as applicable, in a manner and within a time period as mutually agreed by the Parties; and</w:t>
      </w:r>
    </w:p>
    <w:p>
      <w:pPr>
        <w:spacing w:after="0" w:line="120" w:lineRule="exact"/>
        <w:rPr>
          <w:rFonts w:ascii="Arial" w:cs="Arial" w:eastAsia="Arial" w:hAnsi="Arial"/>
          <w:sz w:val="16"/>
          <w:szCs w:val="16"/>
          <w:color w:val="auto"/>
        </w:rPr>
      </w:pPr>
    </w:p>
    <w:p>
      <w:pPr>
        <w:jc w:val="both"/>
        <w:ind w:left="500" w:firstLine="979"/>
        <w:spacing w:after="0" w:line="233" w:lineRule="auto"/>
        <w:tabs>
          <w:tab w:leader="none" w:pos="197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Genworth shall make reasonably available to the Company Group employees and contractors of Genworth whose assistance, expertise or presence is necessary to assist the Company’s transition team in establishing a fully functioning stand-alone environment in respect of the Company Business and the timely assumption by the Company, or by a supplier to the Company, of the Genworth Services.</w:t>
      </w:r>
    </w:p>
    <w:p>
      <w:pPr>
        <w:spacing w:after="0" w:line="120" w:lineRule="exact"/>
        <w:rPr>
          <w:rFonts w:ascii="Arial" w:cs="Arial" w:eastAsia="Arial" w:hAnsi="Arial"/>
          <w:sz w:val="16"/>
          <w:szCs w:val="16"/>
          <w:color w:val="auto"/>
        </w:rPr>
      </w:pPr>
    </w:p>
    <w:p>
      <w:pPr>
        <w:ind w:left="120" w:firstLine="990"/>
        <w:spacing w:after="0" w:line="278" w:lineRule="auto"/>
        <w:tabs>
          <w:tab w:leader="none" w:pos="147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 xml:space="preserve">During the term of this Agreement, the Company shall provide, or cause to be provided, the following support, which support shall be in addition to the Company Services described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at cost to Genworth except for any applicable Other Costs to be determined and paid in accordance with </w:t>
      </w:r>
      <w:r>
        <w:rPr>
          <w:rFonts w:ascii="Arial" w:cs="Arial" w:eastAsia="Arial" w:hAnsi="Arial"/>
          <w:sz w:val="15"/>
          <w:szCs w:val="15"/>
          <w:u w:val="single" w:color="auto"/>
          <w:color w:val="auto"/>
        </w:rPr>
        <w:t>Section 5.02</w:t>
      </w:r>
      <w:r>
        <w:rPr>
          <w:rFonts w:ascii="Arial" w:cs="Arial" w:eastAsia="Arial" w:hAnsi="Arial"/>
          <w:sz w:val="15"/>
          <w:szCs w:val="15"/>
          <w:color w:val="auto"/>
        </w:rPr>
        <w:t>:</w:t>
      </w:r>
    </w:p>
    <w:p>
      <w:pPr>
        <w:spacing w:after="0" w:line="92" w:lineRule="exact"/>
        <w:rPr>
          <w:rFonts w:ascii="Arial" w:cs="Arial" w:eastAsia="Arial" w:hAnsi="Arial"/>
          <w:sz w:val="15"/>
          <w:szCs w:val="15"/>
          <w:color w:val="auto"/>
        </w:rPr>
      </w:pPr>
    </w:p>
    <w:p>
      <w:pPr>
        <w:ind w:left="500" w:firstLine="979"/>
        <w:spacing w:after="0" w:line="278" w:lineRule="auto"/>
        <w:tabs>
          <w:tab w:leader="none" w:pos="1968"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the Company shall provide, or cause to be provided, current and reasonably available historical data related to the Company Services as reasonably required by Genworth or a member of the Genworth Group, as applicable, in a manner and within a time period as mutually agreed by the Parties; and</w:t>
      </w:r>
    </w:p>
    <w:p>
      <w:pPr>
        <w:spacing w:after="0" w:line="92" w:lineRule="exact"/>
        <w:rPr>
          <w:rFonts w:ascii="Arial" w:cs="Arial" w:eastAsia="Arial" w:hAnsi="Arial"/>
          <w:sz w:val="15"/>
          <w:szCs w:val="15"/>
          <w:color w:val="auto"/>
        </w:rPr>
      </w:pPr>
    </w:p>
    <w:p>
      <w:pPr>
        <w:jc w:val="both"/>
        <w:ind w:left="500" w:firstLine="979"/>
        <w:spacing w:after="0" w:line="233" w:lineRule="auto"/>
        <w:tabs>
          <w:tab w:leader="none" w:pos="197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Company shall make reasonably available to Genworth employees and contractors of the Company Group whose assistance, expertise or presence is necessary to assist Genworth’s transition team in establishing a fully functioning stand-alone environment in respect of the Genworth Business and the timely assumption by Genworth, or by a supplier of Genworth, of the Company Services.</w:t>
      </w:r>
    </w:p>
    <w:p>
      <w:pPr>
        <w:spacing w:after="0" w:line="121"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2.04</w:t>
      </w:r>
      <w:r>
        <w:rPr>
          <w:sz w:val="20"/>
          <w:szCs w:val="20"/>
          <w:color w:val="auto"/>
        </w:rPr>
        <w:tab/>
      </w:r>
      <w:r>
        <w:rPr>
          <w:rFonts w:ascii="Arial" w:cs="Arial" w:eastAsia="Arial" w:hAnsi="Arial"/>
          <w:sz w:val="14"/>
          <w:szCs w:val="14"/>
          <w:u w:val="single" w:color="auto"/>
          <w:color w:val="auto"/>
        </w:rPr>
        <w:t>Genworth Services Manager.</w:t>
      </w:r>
    </w:p>
    <w:p>
      <w:pPr>
        <w:spacing w:after="0" w:line="144" w:lineRule="exact"/>
        <w:rPr>
          <w:sz w:val="20"/>
          <w:szCs w:val="20"/>
          <w:color w:val="auto"/>
        </w:rPr>
      </w:pPr>
    </w:p>
    <w:p>
      <w:pPr>
        <w:ind w:firstLine="492"/>
        <w:spacing w:after="0" w:line="245" w:lineRule="auto"/>
        <w:rPr>
          <w:sz w:val="20"/>
          <w:szCs w:val="20"/>
          <w:color w:val="auto"/>
        </w:rPr>
      </w:pPr>
      <w:r>
        <w:rPr>
          <w:rFonts w:ascii="Arial" w:cs="Arial" w:eastAsia="Arial" w:hAnsi="Arial"/>
          <w:sz w:val="16"/>
          <w:szCs w:val="16"/>
          <w:color w:val="auto"/>
        </w:rPr>
        <w:t>Genworth will designate a dedicated services account manager (the “Genworth Services Manager”) who will be directly responsible for coordinating and managing the delivery of the Genworth Services and will have authority to act on Genworth’s behalf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097" w:right="319" w:bottom="1440" w:gutter="0" w:footer="0" w:header="0"/>
        </w:sectPr>
      </w:pPr>
    </w:p>
    <w:bookmarkStart w:id="212" w:name="page213"/>
    <w:bookmarkEnd w:id="212"/>
    <w:p>
      <w:pPr>
        <w:jc w:val="both"/>
        <w:spacing w:after="0" w:line="245" w:lineRule="auto"/>
        <w:rPr>
          <w:sz w:val="20"/>
          <w:szCs w:val="20"/>
          <w:color w:val="auto"/>
        </w:rPr>
      </w:pPr>
      <w:r>
        <w:rPr>
          <w:rFonts w:ascii="Arial" w:cs="Arial" w:eastAsia="Arial" w:hAnsi="Arial"/>
          <w:sz w:val="16"/>
          <w:szCs w:val="16"/>
          <w:color w:val="auto"/>
        </w:rPr>
        <w:t>Services. The Genworth Services Manager will work with the Company Services Manager to address the Company’s issues and the Parties’ relationship under this Agreement.</w:t>
      </w:r>
    </w:p>
    <w:p>
      <w:pPr>
        <w:spacing w:after="0" w:line="117"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2.05</w:t>
      </w:r>
      <w:r>
        <w:rPr>
          <w:sz w:val="20"/>
          <w:szCs w:val="20"/>
          <w:color w:val="auto"/>
        </w:rPr>
        <w:tab/>
      </w:r>
      <w:r>
        <w:rPr>
          <w:rFonts w:ascii="Arial" w:cs="Arial" w:eastAsia="Arial" w:hAnsi="Arial"/>
          <w:sz w:val="14"/>
          <w:szCs w:val="14"/>
          <w:u w:val="single" w:color="auto"/>
          <w:color w:val="auto"/>
        </w:rPr>
        <w:t>Company Services Manager.</w:t>
      </w:r>
    </w:p>
    <w:p>
      <w:pPr>
        <w:spacing w:after="0" w:line="144" w:lineRule="exact"/>
        <w:rPr>
          <w:sz w:val="20"/>
          <w:szCs w:val="20"/>
          <w:color w:val="auto"/>
        </w:rPr>
      </w:pPr>
    </w:p>
    <w:p>
      <w:pPr>
        <w:jc w:val="both"/>
        <w:ind w:firstLine="492"/>
        <w:spacing w:after="0" w:line="233" w:lineRule="auto"/>
        <w:rPr>
          <w:sz w:val="20"/>
          <w:szCs w:val="20"/>
          <w:color w:val="auto"/>
        </w:rPr>
      </w:pPr>
      <w:r>
        <w:rPr>
          <w:rFonts w:ascii="Arial" w:cs="Arial" w:eastAsia="Arial" w:hAnsi="Arial"/>
          <w:sz w:val="16"/>
          <w:szCs w:val="16"/>
          <w:color w:val="auto"/>
        </w:rPr>
        <w:t>The Company will designate a dedicated services account manager (the “</w:t>
      </w:r>
      <w:r>
        <w:rPr>
          <w:rFonts w:ascii="Arial" w:cs="Arial" w:eastAsia="Arial" w:hAnsi="Arial"/>
          <w:sz w:val="16"/>
          <w:szCs w:val="16"/>
          <w:u w:val="single" w:color="auto"/>
          <w:color w:val="auto"/>
        </w:rPr>
        <w:t>Company Services Manager</w:t>
      </w:r>
      <w:r>
        <w:rPr>
          <w:rFonts w:ascii="Arial" w:cs="Arial" w:eastAsia="Arial" w:hAnsi="Arial"/>
          <w:sz w:val="16"/>
          <w:szCs w:val="16"/>
          <w:color w:val="auto"/>
        </w:rPr>
        <w:t>”) who will be directly responsible for coordinating and managing the delivery of the Services by the Company and will have authority to act on the Company’s behalf with respect to the Services. The Company Services Manager will work with the Genworth Services Manager to address Genworth’s issues and the Parties’ relationship under this Agreement.</w:t>
      </w:r>
    </w:p>
    <w:p>
      <w:pPr>
        <w:spacing w:after="0" w:line="121"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2.06</w:t>
      </w:r>
      <w:r>
        <w:rPr>
          <w:sz w:val="20"/>
          <w:szCs w:val="20"/>
          <w:color w:val="auto"/>
        </w:rPr>
        <w:tab/>
      </w:r>
      <w:r>
        <w:rPr>
          <w:rFonts w:ascii="Arial" w:cs="Arial" w:eastAsia="Arial" w:hAnsi="Arial"/>
          <w:sz w:val="14"/>
          <w:szCs w:val="14"/>
          <w:u w:val="single" w:color="auto"/>
          <w:color w:val="auto"/>
        </w:rPr>
        <w:t>Performance and Receipt of Services.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provisions shall apply to the Services:</w:t>
      </w:r>
    </w:p>
    <w:p>
      <w:pPr>
        <w:spacing w:after="0" w:line="144" w:lineRule="exact"/>
        <w:rPr>
          <w:sz w:val="20"/>
          <w:szCs w:val="20"/>
          <w:color w:val="auto"/>
        </w:rPr>
      </w:pPr>
    </w:p>
    <w:p>
      <w:pPr>
        <w:ind w:left="120" w:firstLine="990"/>
        <w:spacing w:after="0" w:line="245" w:lineRule="auto"/>
        <w:tabs>
          <w:tab w:leader="none" w:pos="147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Each Provider and Recipient shall at all times comply with the Data Security and Cybersecurity Program with respect to the performance, access and/or use of the Services.</w:t>
      </w:r>
    </w:p>
    <w:p>
      <w:pPr>
        <w:spacing w:after="0" w:line="116" w:lineRule="exact"/>
        <w:rPr>
          <w:rFonts w:ascii="Arial" w:cs="Arial" w:eastAsia="Arial" w:hAnsi="Arial"/>
          <w:sz w:val="16"/>
          <w:szCs w:val="16"/>
          <w:color w:val="auto"/>
        </w:rPr>
      </w:pPr>
    </w:p>
    <w:p>
      <w:pPr>
        <w:ind w:left="120" w:firstLine="990"/>
        <w:spacing w:after="0" w:line="245" w:lineRule="auto"/>
        <w:tabs>
          <w:tab w:leader="none" w:pos="147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Reasonable Care</w:t>
      </w:r>
      <w:r>
        <w:rPr>
          <w:rFonts w:ascii="Arial" w:cs="Arial" w:eastAsia="Arial" w:hAnsi="Arial"/>
          <w:sz w:val="16"/>
          <w:szCs w:val="16"/>
          <w:color w:val="auto"/>
        </w:rPr>
        <w:t>. Each Provider and Recipient shall at all times comply with the Data Security and Cybersecurity Program when providing and receiving the Services to (i) prevent access to the Services by unauthorized Persons and (ii) not damage, disrupt or interrupt the Services.</w:t>
      </w:r>
    </w:p>
    <w:p>
      <w:pPr>
        <w:spacing w:after="0" w:line="116" w:lineRule="exact"/>
        <w:rPr>
          <w:rFonts w:ascii="Arial" w:cs="Arial" w:eastAsia="Arial" w:hAnsi="Arial"/>
          <w:sz w:val="16"/>
          <w:szCs w:val="16"/>
          <w:color w:val="auto"/>
        </w:rPr>
      </w:pPr>
    </w:p>
    <w:p>
      <w:pPr>
        <w:ind w:left="120" w:firstLine="990"/>
        <w:spacing w:after="0" w:line="245" w:lineRule="auto"/>
        <w:tabs>
          <w:tab w:leader="none" w:pos="147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Status</w:t>
      </w:r>
      <w:r>
        <w:rPr>
          <w:rFonts w:ascii="Arial" w:cs="Arial" w:eastAsia="Arial" w:hAnsi="Arial"/>
          <w:sz w:val="16"/>
          <w:szCs w:val="16"/>
          <w:color w:val="auto"/>
        </w:rPr>
        <w:t>. Each Provider shall, consistent and in accordance with the Data Security and Cybersecurity Program, provide each Recipient such information regarding the status of the Services being provided as may be reasonably requested by the Recipient from time to time.</w:t>
      </w:r>
    </w:p>
    <w:p>
      <w:pPr>
        <w:spacing w:after="0" w:line="117"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2.07</w:t>
      </w:r>
      <w:r>
        <w:rPr>
          <w:sz w:val="20"/>
          <w:szCs w:val="20"/>
          <w:color w:val="auto"/>
        </w:rPr>
        <w:tab/>
      </w:r>
      <w:r>
        <w:rPr>
          <w:rFonts w:ascii="Arial" w:cs="Arial" w:eastAsia="Arial" w:hAnsi="Arial"/>
          <w:sz w:val="14"/>
          <w:szCs w:val="14"/>
          <w:u w:val="single" w:color="auto"/>
          <w:color w:val="auto"/>
        </w:rPr>
        <w:t>Standard for Services.</w:t>
      </w:r>
    </w:p>
    <w:p>
      <w:pPr>
        <w:spacing w:after="0" w:line="144" w:lineRule="exact"/>
        <w:rPr>
          <w:sz w:val="20"/>
          <w:szCs w:val="20"/>
          <w:color w:val="auto"/>
        </w:rPr>
      </w:pPr>
    </w:p>
    <w:p>
      <w:pPr>
        <w:jc w:val="both"/>
        <w:ind w:firstLine="492"/>
        <w:spacing w:after="0"/>
        <w:rPr>
          <w:sz w:val="20"/>
          <w:szCs w:val="20"/>
          <w:color w:val="auto"/>
        </w:rPr>
      </w:pPr>
      <w:r>
        <w:rPr>
          <w:rFonts w:ascii="Arial" w:cs="Arial" w:eastAsia="Arial" w:hAnsi="Arial"/>
          <w:sz w:val="15"/>
          <w:szCs w:val="15"/>
          <w:color w:val="auto"/>
        </w:rPr>
        <w:t xml:space="preserve">Except as otherwise provided in this Agreement (including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 the Provider agrees to (a) perform the Services such that the nature, quality, standard of care and the service levels at which such Services are performed are no less than the nature, quality, standard of care and service levels at which the substantially same services were performed by or on behalf of the Provider during the last twelve (12) months, (i) to Recipient prior to the Effective Date where such services were performed by or on behalf of the Provider in the ordinary course or (ii) to itself or its Affiliates during the term of this Agreement and (b) pass-through any service levels made available to the Provider for a Service performed by a subcontractor (the “</w:t>
      </w:r>
      <w:r>
        <w:rPr>
          <w:rFonts w:ascii="Arial" w:cs="Arial" w:eastAsia="Arial" w:hAnsi="Arial"/>
          <w:sz w:val="15"/>
          <w:szCs w:val="15"/>
          <w:u w:val="single" w:color="auto"/>
          <w:color w:val="auto"/>
        </w:rPr>
        <w:t>Standard for Services</w:t>
      </w:r>
      <w:r>
        <w:rPr>
          <w:rFonts w:ascii="Arial" w:cs="Arial" w:eastAsia="Arial" w:hAnsi="Arial"/>
          <w:sz w:val="15"/>
          <w:szCs w:val="15"/>
          <w:color w:val="auto"/>
        </w:rPr>
        <w:t>”).</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2.08</w:t>
      </w:r>
      <w:r>
        <w:rPr>
          <w:sz w:val="20"/>
          <w:szCs w:val="20"/>
          <w:color w:val="auto"/>
        </w:rPr>
        <w:tab/>
      </w:r>
      <w:r>
        <w:rPr>
          <w:rFonts w:ascii="Arial" w:cs="Arial" w:eastAsia="Arial" w:hAnsi="Arial"/>
          <w:sz w:val="14"/>
          <w:szCs w:val="14"/>
          <w:u w:val="single" w:color="auto"/>
          <w:color w:val="auto"/>
        </w:rPr>
        <w:t>Insurance.</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Each Provider shall maintain sufficient insurance coverage in respect of its provision of Services in accordance with customary market practices and shall provide the Recipient such evidence of such insurance coverage as the Recipient may reasonably request.</w:t>
      </w:r>
    </w:p>
    <w:p>
      <w:pPr>
        <w:spacing w:after="0" w:line="113"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Article III</w:t>
      </w:r>
    </w:p>
    <w:p>
      <w:pPr>
        <w:spacing w:after="0" w:line="144"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OTHER ARRANGEMENTS</w:t>
      </w:r>
    </w:p>
    <w:p>
      <w:pPr>
        <w:spacing w:after="0" w:line="14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3.01</w:t>
      </w:r>
      <w:r>
        <w:rPr>
          <w:sz w:val="20"/>
          <w:szCs w:val="20"/>
          <w:color w:val="auto"/>
        </w:rPr>
        <w:tab/>
      </w:r>
      <w:r>
        <w:rPr>
          <w:rFonts w:ascii="Arial" w:cs="Arial" w:eastAsia="Arial" w:hAnsi="Arial"/>
          <w:sz w:val="14"/>
          <w:szCs w:val="14"/>
          <w:u w:val="single" w:color="auto"/>
          <w:color w:val="auto"/>
        </w:rPr>
        <w:t>Vendor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098" w:right="319" w:bottom="1440" w:gutter="0" w:footer="0" w:header="0"/>
        </w:sectPr>
      </w:pPr>
    </w:p>
    <w:bookmarkStart w:id="213" w:name="page214"/>
    <w:bookmarkEnd w:id="213"/>
    <w:p>
      <w:pPr>
        <w:jc w:val="both"/>
        <w:ind w:left="120" w:firstLine="990"/>
        <w:spacing w:after="0" w:line="233" w:lineRule="auto"/>
        <w:tabs>
          <w:tab w:leader="none" w:pos="147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During the period beginning on the Effective Date and ending on the relevant Agreement Termination Date, Genworth is or may become a party to certain corporate purchasing contracts, master services agreements, vendor contracts, software and other Intellectual Property licenses or similar agreements unrelated to the Genworth Services (the “</w:t>
      </w:r>
      <w:r>
        <w:rPr>
          <w:rFonts w:ascii="Arial" w:cs="Arial" w:eastAsia="Arial" w:hAnsi="Arial"/>
          <w:sz w:val="15"/>
          <w:szCs w:val="15"/>
          <w:u w:val="single" w:color="auto"/>
          <w:color w:val="auto"/>
        </w:rPr>
        <w:t>Genworth Vendor Agreements</w:t>
      </w:r>
      <w:r>
        <w:rPr>
          <w:rFonts w:ascii="Arial" w:cs="Arial" w:eastAsia="Arial" w:hAnsi="Arial"/>
          <w:sz w:val="15"/>
          <w:szCs w:val="15"/>
          <w:color w:val="auto"/>
        </w:rPr>
        <w:t>”) under which (or under open work orders thereunder) the Company and its Affiliates purchase goods or services, license rights to use Intellectual Property and realize certain other benefits and rights. The Parties hereby agree that the Company and its Affiliates shall continue to retain the right to purchase goods or services and continue to realize such other benefits and rights under each Genworth Vendor Agreement to the extent allowed by such Genworth Vendor Agreement (“</w:t>
      </w:r>
      <w:r>
        <w:rPr>
          <w:rFonts w:ascii="Arial" w:cs="Arial" w:eastAsia="Arial" w:hAnsi="Arial"/>
          <w:sz w:val="15"/>
          <w:szCs w:val="15"/>
          <w:u w:val="single" w:color="auto"/>
          <w:color w:val="auto"/>
        </w:rPr>
        <w:t>Company Purchasing Rights</w:t>
      </w:r>
      <w:r>
        <w:rPr>
          <w:rFonts w:ascii="Arial" w:cs="Arial" w:eastAsia="Arial" w:hAnsi="Arial"/>
          <w:sz w:val="15"/>
          <w:szCs w:val="15"/>
          <w:color w:val="auto"/>
        </w:rPr>
        <w:t>”) until the expiration or termination date of such Company Purchasing Rights pursuant to the terms of such Genworth Vendor Agreement (including any voluntary termination of such Genworth Vendor Agreement by Genworth). Additionally, for so long as the Company Purchasing Rights remain in full force and effect under a Genworth Vendor Agreement and the Company or its Affiliates continue to exercise their Company Purchasing Rights under such Genworth Vendor Agreement and for a period of six (6) months thereafter, Genworth shall use its commercially reasonable efforts, upon the written request of the Company, to assist the Company in obtaining a purchasing contract, master services agreement, vendor contract or similar agreement directly with the third party provider that is a party to the Genworth Vendor Agreement. If:</w:t>
      </w:r>
    </w:p>
    <w:p>
      <w:pPr>
        <w:spacing w:after="0" w:line="127" w:lineRule="exact"/>
        <w:rPr>
          <w:rFonts w:ascii="Arial" w:cs="Arial" w:eastAsia="Arial" w:hAnsi="Arial"/>
          <w:sz w:val="15"/>
          <w:szCs w:val="15"/>
          <w:color w:val="auto"/>
        </w:rPr>
      </w:pPr>
    </w:p>
    <w:p>
      <w:pPr>
        <w:jc w:val="both"/>
        <w:ind w:left="500" w:firstLine="979"/>
        <w:spacing w:after="0" w:line="233" w:lineRule="auto"/>
        <w:tabs>
          <w:tab w:leader="none" w:pos="196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Genworth has the right to allow the Company, any members of the Company Group, or any of their respective Affiliates to continue exercising the right to purchase goods or services as Company Purchasing Rights under a Genworth Vendor Agreement beyond the Agreement Termination Date; and</w:t>
      </w:r>
    </w:p>
    <w:p>
      <w:pPr>
        <w:spacing w:after="0" w:line="120" w:lineRule="exact"/>
        <w:rPr>
          <w:rFonts w:ascii="Arial" w:cs="Arial" w:eastAsia="Arial" w:hAnsi="Arial"/>
          <w:sz w:val="16"/>
          <w:szCs w:val="16"/>
          <w:color w:val="auto"/>
        </w:rPr>
      </w:pPr>
    </w:p>
    <w:p>
      <w:pPr>
        <w:ind w:left="500" w:firstLine="979"/>
        <w:spacing w:after="0" w:line="245" w:lineRule="auto"/>
        <w:tabs>
          <w:tab w:leader="none" w:pos="197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Company requests from Genworth an extension of those Company Purchasing Rights under that Genworth Vendor Agreement beyond the Agreement Termination Date,</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then Genworth will continue to allow the Company, any members of the Company Group, and any of their respective Affiliates to exercise those Company Purchasing Rights under that Genworth Vendor Agreement until the earlier of:</w:t>
      </w:r>
    </w:p>
    <w:p>
      <w:pPr>
        <w:spacing w:after="0" w:line="117" w:lineRule="exact"/>
        <w:rPr>
          <w:sz w:val="20"/>
          <w:szCs w:val="20"/>
          <w:color w:val="auto"/>
        </w:rPr>
      </w:pPr>
    </w:p>
    <w:p>
      <w:pPr>
        <w:ind w:left="2500" w:hanging="528"/>
        <w:spacing w:after="0"/>
        <w:tabs>
          <w:tab w:leader="none" w:pos="25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twelve (12) months after the Agreement Termination Date; and</w:t>
      </w:r>
    </w:p>
    <w:p>
      <w:pPr>
        <w:spacing w:after="0" w:line="144" w:lineRule="exact"/>
        <w:rPr>
          <w:rFonts w:ascii="Arial" w:cs="Arial" w:eastAsia="Arial" w:hAnsi="Arial"/>
          <w:sz w:val="16"/>
          <w:szCs w:val="16"/>
          <w:color w:val="auto"/>
        </w:rPr>
      </w:pPr>
    </w:p>
    <w:p>
      <w:pPr>
        <w:ind w:left="980" w:firstLine="992"/>
        <w:spacing w:after="0" w:line="245" w:lineRule="auto"/>
        <w:tabs>
          <w:tab w:leader="none" w:pos="24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date that Genworth ceases to have the right to allow the Company, members of the Company Group, or their respective Affiliates to continue exercising Company Purchasing Rights under that Genworth Vendor Agreement.</w:t>
      </w:r>
    </w:p>
    <w:p>
      <w:pPr>
        <w:spacing w:after="0" w:line="116" w:lineRule="exact"/>
        <w:rPr>
          <w:rFonts w:ascii="Arial" w:cs="Arial" w:eastAsia="Arial" w:hAnsi="Arial"/>
          <w:sz w:val="16"/>
          <w:szCs w:val="16"/>
          <w:color w:val="auto"/>
        </w:rPr>
      </w:pPr>
    </w:p>
    <w:p>
      <w:pPr>
        <w:jc w:val="both"/>
        <w:ind w:left="120" w:firstLine="990"/>
        <w:spacing w:after="0" w:line="237" w:lineRule="auto"/>
        <w:tabs>
          <w:tab w:leader="none" w:pos="147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During the period beginning on the Effective Date and ending on the relevant Agreement Termination Date, the Company is or may become a party to certain corporate purchasing contracts, master services agreements, vendor contracts, software and other Intellectual Property licenses or similar agreements unrelated to the Company Services (the “</w:t>
      </w:r>
      <w:r>
        <w:rPr>
          <w:rFonts w:ascii="Arial" w:cs="Arial" w:eastAsia="Arial" w:hAnsi="Arial"/>
          <w:sz w:val="15"/>
          <w:szCs w:val="15"/>
          <w:u w:val="single" w:color="auto"/>
          <w:color w:val="auto"/>
        </w:rPr>
        <w:t>Company Vendor Agreements</w:t>
      </w:r>
      <w:r>
        <w:rPr>
          <w:rFonts w:ascii="Arial" w:cs="Arial" w:eastAsia="Arial" w:hAnsi="Arial"/>
          <w:sz w:val="15"/>
          <w:szCs w:val="15"/>
          <w:color w:val="auto"/>
        </w:rPr>
        <w:t>” and, together with the Genworth Vendor Agreements, the “</w:t>
      </w:r>
      <w:r>
        <w:rPr>
          <w:rFonts w:ascii="Arial" w:cs="Arial" w:eastAsia="Arial" w:hAnsi="Arial"/>
          <w:sz w:val="15"/>
          <w:szCs w:val="15"/>
          <w:u w:val="single" w:color="auto"/>
          <w:color w:val="auto"/>
        </w:rPr>
        <w:t>Vendor Agreements</w:t>
      </w:r>
      <w:r>
        <w:rPr>
          <w:rFonts w:ascii="Arial" w:cs="Arial" w:eastAsia="Arial" w:hAnsi="Arial"/>
          <w:sz w:val="15"/>
          <w:szCs w:val="15"/>
          <w:color w:val="auto"/>
        </w:rPr>
        <w:t>”) under which (or under open work orders thereunder) Genworth and its Affiliates purchase goods or services, license rights to use Intellectual Property and realize certain other benefits and rights. The Parties hereby agree that Genworth and its Affiliates shall continue to retain the right to purchase goods or services and continue to realize such other benefits and rights under each Company Vendor Agreement to the extent allowed by such Company Vendor Agreement (“</w:t>
      </w:r>
      <w:r>
        <w:rPr>
          <w:rFonts w:ascii="Arial" w:cs="Arial" w:eastAsia="Arial" w:hAnsi="Arial"/>
          <w:sz w:val="15"/>
          <w:szCs w:val="15"/>
          <w:u w:val="single" w:color="auto"/>
          <w:color w:val="auto"/>
        </w:rPr>
        <w:t>Genworth Purchasing Rights</w:t>
      </w:r>
      <w:r>
        <w:rPr>
          <w:rFonts w:ascii="Arial" w:cs="Arial" w:eastAsia="Arial" w:hAnsi="Arial"/>
          <w:sz w:val="15"/>
          <w:szCs w:val="15"/>
          <w:color w:val="auto"/>
        </w:rPr>
        <w:t>”) until the expiration or termination date of such Genworth Purchasing Rights pursuant to the terms of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097" w:right="319" w:bottom="1440" w:gutter="0" w:footer="0" w:header="0"/>
        </w:sectPr>
      </w:pPr>
    </w:p>
    <w:bookmarkStart w:id="214" w:name="page215"/>
    <w:bookmarkEnd w:id="214"/>
    <w:p>
      <w:pPr>
        <w:jc w:val="both"/>
        <w:ind w:left="120"/>
        <w:spacing w:after="0" w:line="225" w:lineRule="auto"/>
        <w:rPr>
          <w:sz w:val="20"/>
          <w:szCs w:val="20"/>
          <w:color w:val="auto"/>
        </w:rPr>
      </w:pPr>
      <w:r>
        <w:rPr>
          <w:rFonts w:ascii="Arial" w:cs="Arial" w:eastAsia="Arial" w:hAnsi="Arial"/>
          <w:sz w:val="16"/>
          <w:szCs w:val="16"/>
          <w:color w:val="auto"/>
        </w:rPr>
        <w:t>Vendor Agreement (including any voluntary termination of such Company Vendor Agreement by the Company). Additionally, for so long as the Genworth Purchasing Rights remain in full force and effect under a Company Vendor Agreement and Genworth or its Affiliates continue to exercise their Genworth Purchasing Rights under such Company Vendor Agreement and for a period of six (6) months thereafter, the Company shall use its commercially reasonable efforts, upon the written request of Genworth, to assist Genworth in obtaining a purchasing contract, master services agreement, vendor contract or similar agreement directly with the third party provider that is a party to a Company Vendor Agreement. If:</w:t>
      </w:r>
    </w:p>
    <w:p>
      <w:pPr>
        <w:spacing w:after="0" w:line="122" w:lineRule="exact"/>
        <w:rPr>
          <w:sz w:val="20"/>
          <w:szCs w:val="20"/>
          <w:color w:val="auto"/>
        </w:rPr>
      </w:pPr>
    </w:p>
    <w:p>
      <w:pPr>
        <w:ind w:left="500" w:firstLine="979"/>
        <w:spacing w:after="0" w:line="245" w:lineRule="auto"/>
        <w:tabs>
          <w:tab w:leader="none" w:pos="196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has the right to allow Genworth and its Affiliates to continue exercising the right to purchase goods or services as Genworth Purchasing Rights under a Company Vendor Agreement beyond the Agreement Termination Date; and</w:t>
      </w:r>
    </w:p>
    <w:p>
      <w:pPr>
        <w:spacing w:after="0" w:line="116" w:lineRule="exact"/>
        <w:rPr>
          <w:rFonts w:ascii="Arial" w:cs="Arial" w:eastAsia="Arial" w:hAnsi="Arial"/>
          <w:sz w:val="16"/>
          <w:szCs w:val="16"/>
          <w:color w:val="auto"/>
        </w:rPr>
      </w:pPr>
    </w:p>
    <w:p>
      <w:pPr>
        <w:ind w:left="500" w:firstLine="979"/>
        <w:spacing w:after="0" w:line="245" w:lineRule="auto"/>
        <w:tabs>
          <w:tab w:leader="none" w:pos="197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Genworth requests from the Company an extension of those Genworth Purchasing Rights under that Company Vendor Agreement beyond the Agreement Termination Date,</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Then the Company will continue to allow Genworth and its Affiliates to exercise those Genworth Purchasing Rights under that Company Vendor Agreement until the earlier of:</w:t>
      </w:r>
    </w:p>
    <w:p>
      <w:pPr>
        <w:spacing w:after="0" w:line="117" w:lineRule="exact"/>
        <w:rPr>
          <w:sz w:val="20"/>
          <w:szCs w:val="20"/>
          <w:color w:val="auto"/>
        </w:rPr>
      </w:pPr>
    </w:p>
    <w:p>
      <w:pPr>
        <w:ind w:left="2500" w:hanging="528"/>
        <w:spacing w:after="0"/>
        <w:tabs>
          <w:tab w:leader="none" w:pos="25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twelve (12) months after the Agreement Termination Date; and</w:t>
      </w:r>
    </w:p>
    <w:p>
      <w:pPr>
        <w:spacing w:after="0" w:line="144" w:lineRule="exact"/>
        <w:rPr>
          <w:rFonts w:ascii="Arial" w:cs="Arial" w:eastAsia="Arial" w:hAnsi="Arial"/>
          <w:sz w:val="16"/>
          <w:szCs w:val="16"/>
          <w:color w:val="auto"/>
        </w:rPr>
      </w:pPr>
    </w:p>
    <w:p>
      <w:pPr>
        <w:ind w:left="980" w:firstLine="992"/>
        <w:spacing w:after="0" w:line="245" w:lineRule="auto"/>
        <w:tabs>
          <w:tab w:leader="none" w:pos="250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date that the Company ceases to have the right to allow Genworth or its Affiliates to continue exercising Genworth Purchasing Rights under that Company Vendor Agreement.</w:t>
      </w:r>
    </w:p>
    <w:p>
      <w:pPr>
        <w:spacing w:after="0" w:line="116" w:lineRule="exact"/>
        <w:rPr>
          <w:rFonts w:ascii="Arial" w:cs="Arial" w:eastAsia="Arial" w:hAnsi="Arial"/>
          <w:sz w:val="16"/>
          <w:szCs w:val="16"/>
          <w:color w:val="auto"/>
        </w:rPr>
      </w:pPr>
    </w:p>
    <w:p>
      <w:pPr>
        <w:jc w:val="both"/>
        <w:ind w:left="120" w:firstLine="990"/>
        <w:spacing w:after="0" w:line="225" w:lineRule="auto"/>
        <w:tabs>
          <w:tab w:leader="none" w:pos="147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shall indemnify defend and hold harmless on an After-Tax Basis each member of the Genworth Group and each of their respective directors, officers and employees, and each of the heirs, executors, successors and assigns of any of the foregoing (collectively, the “</w:t>
      </w:r>
      <w:r>
        <w:rPr>
          <w:rFonts w:ascii="Arial" w:cs="Arial" w:eastAsia="Arial" w:hAnsi="Arial"/>
          <w:sz w:val="16"/>
          <w:szCs w:val="16"/>
          <w:u w:val="single" w:color="auto"/>
          <w:color w:val="auto"/>
        </w:rPr>
        <w:t>Genworth Indemnified Parties</w:t>
      </w:r>
      <w:r>
        <w:rPr>
          <w:rFonts w:ascii="Arial" w:cs="Arial" w:eastAsia="Arial" w:hAnsi="Arial"/>
          <w:sz w:val="16"/>
          <w:szCs w:val="16"/>
          <w:color w:val="auto"/>
        </w:rPr>
        <w:t>”), from and against any and all Liabilities of the Genworth Indemnified Parties relating to, arising out of or resulting from any members of the Company Group, or any of their respective Affiliates purchasing goods or services, licensing rights to use Intellectual Property or otherwise realizing benefits and rights under any Genworth Vendor Agreements.</w:t>
      </w:r>
    </w:p>
    <w:p>
      <w:pPr>
        <w:spacing w:after="0" w:line="122" w:lineRule="exact"/>
        <w:rPr>
          <w:rFonts w:ascii="Arial" w:cs="Arial" w:eastAsia="Arial" w:hAnsi="Arial"/>
          <w:sz w:val="16"/>
          <w:szCs w:val="16"/>
          <w:color w:val="auto"/>
        </w:rPr>
      </w:pPr>
    </w:p>
    <w:p>
      <w:pPr>
        <w:jc w:val="both"/>
        <w:ind w:left="120" w:firstLine="990"/>
        <w:spacing w:after="0" w:line="244" w:lineRule="auto"/>
        <w:tabs>
          <w:tab w:leader="none" w:pos="147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Genworth shall indemnify, defend and hold harmless on an After-Tax Basis each member of the Company Group and each of their respective directors, officers and employees, and each of the heirs, executors, successors and assigns of any of the foregoing (collectively, the “</w:t>
      </w:r>
      <w:r>
        <w:rPr>
          <w:rFonts w:ascii="Arial" w:cs="Arial" w:eastAsia="Arial" w:hAnsi="Arial"/>
          <w:sz w:val="15"/>
          <w:szCs w:val="15"/>
          <w:u w:val="single" w:color="auto"/>
          <w:color w:val="auto"/>
        </w:rPr>
        <w:t>Company Indemnified Parties</w:t>
      </w:r>
      <w:r>
        <w:rPr>
          <w:rFonts w:ascii="Arial" w:cs="Arial" w:eastAsia="Arial" w:hAnsi="Arial"/>
          <w:sz w:val="15"/>
          <w:szCs w:val="15"/>
          <w:color w:val="auto"/>
        </w:rPr>
        <w:t>”), from and against any and all Liabilities of the Company Indemnified Parties relating to, arising out of or resulting from Genworth or any of its Affiliates purchasing goods or services, licensing rights to use Intellectual Property or otherwise realizing benefits and rights under any Company Vendor Agreements.</w:t>
      </w:r>
    </w:p>
    <w:p>
      <w:pPr>
        <w:spacing w:after="0" w:line="119" w:lineRule="exact"/>
        <w:rPr>
          <w:rFonts w:ascii="Arial" w:cs="Arial" w:eastAsia="Arial" w:hAnsi="Arial"/>
          <w:sz w:val="15"/>
          <w:szCs w:val="15"/>
          <w:color w:val="auto"/>
        </w:rPr>
      </w:pPr>
    </w:p>
    <w:p>
      <w:pPr>
        <w:jc w:val="both"/>
        <w:ind w:left="120" w:firstLine="990"/>
        <w:spacing w:after="0"/>
        <w:tabs>
          <w:tab w:leader="none" w:pos="1471"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After-Tax Basis</w:t>
      </w:r>
      <w:r>
        <w:rPr>
          <w:rFonts w:ascii="Arial" w:cs="Arial" w:eastAsia="Arial" w:hAnsi="Arial"/>
          <w:sz w:val="15"/>
          <w:szCs w:val="15"/>
          <w:color w:val="auto"/>
        </w:rPr>
        <w:t>” means, with respect to any indemnification payment to be actually or constructively received by any Person, the amount of the payment (i) increased to take account of any net Tax cost incurred by the Indemnified Party arising from the receipt or accrual of an indemnification payment hereunder (grossed up for such increase) and (ii) reduced to take account of any net Tax benefit realized by the Indemnified Party arising from incurring or paying such Liability. In computing the amount of any such Tax cost or Tax benefit, the Indemnified Party shall be deemed to recognize all other items of income, gain, loss, deduction or credit before recognizing any item arising from the receipt or accrual of any indemnification payment hereunder or incurring or paying any indemnified Liability.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098" w:right="319" w:bottom="1440" w:gutter="0" w:footer="0" w:header="0"/>
        </w:sectPr>
      </w:pPr>
    </w:p>
    <w:bookmarkStart w:id="215" w:name="page216"/>
    <w:bookmarkEnd w:id="215"/>
    <w:p>
      <w:pPr>
        <w:jc w:val="both"/>
        <w:ind w:left="120"/>
        <w:spacing w:after="0" w:line="219" w:lineRule="auto"/>
        <w:rPr>
          <w:sz w:val="20"/>
          <w:szCs w:val="20"/>
          <w:color w:val="auto"/>
        </w:rPr>
      </w:pPr>
      <w:r>
        <w:rPr>
          <w:rFonts w:ascii="Arial" w:cs="Arial" w:eastAsia="Arial" w:hAnsi="Arial"/>
          <w:sz w:val="16"/>
          <w:szCs w:val="16"/>
          <w:color w:val="auto"/>
        </w:rPr>
        <w:t xml:space="preserve">indemnification payment hereunder shall initially be made without regard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shall be increased or reduced to reflect any such net Tax cost (including gross-up) or net Tax benefit only after the Indemnified Party has actually realized such cost or benefit. For purposes of this Agreement, an Indemnified Party shall be deemed to have “actually realized” a net Tax cost or a net Tax benefit to the extent that, and at such time as, the amount of Taxes payable by such Indemnified Party is increased above or reduced below, as the case may be, the amount of Taxes that such Indemnified Party would be required to pay but for the receipt or accrual of the indemnification payment or the incurrence or payment of such Liability, as the case may be. The amount of any increase or reduction hereunder shall be adjusted to reflect any “determination” (within the meaning of Section 1313 of the Code) with respect to the Indemnified Party’s liability for Taxes, and payments between such indemnified Parties to reflect such adjustment shall be made if necessary. Notwithstanding any other provision of this Agreement, to the extent permitted by applicable Law, the Parties hereto agree that any indemnity payment made hereunder shall be treated as a capital contribution or dividend distribution, as the case may be, immediately prior to the date of any initial public offering of Company Common Stock, and, accordingly, not includible in the taxable income of the recipient or deductible by the payor.</w:t>
      </w:r>
    </w:p>
    <w:p>
      <w:pPr>
        <w:spacing w:after="0" w:line="127"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3.02</w:t>
      </w:r>
      <w:r>
        <w:rPr>
          <w:sz w:val="20"/>
          <w:szCs w:val="20"/>
          <w:color w:val="auto"/>
        </w:rPr>
        <w:tab/>
      </w:r>
      <w:r>
        <w:rPr>
          <w:rFonts w:ascii="Arial" w:cs="Arial" w:eastAsia="Arial" w:hAnsi="Arial"/>
          <w:sz w:val="15"/>
          <w:szCs w:val="15"/>
          <w:u w:val="single" w:color="auto"/>
          <w:color w:val="auto"/>
        </w:rPr>
        <w:t>Termination of Agreements.</w:t>
      </w:r>
    </w:p>
    <w:p>
      <w:pPr>
        <w:spacing w:after="0" w:line="144" w:lineRule="exact"/>
        <w:rPr>
          <w:sz w:val="20"/>
          <w:szCs w:val="20"/>
          <w:color w:val="auto"/>
        </w:rPr>
      </w:pPr>
    </w:p>
    <w:p>
      <w:pPr>
        <w:ind w:left="120" w:firstLine="990"/>
        <w:spacing w:after="0" w:line="245" w:lineRule="auto"/>
        <w:tabs>
          <w:tab w:leader="none" w:pos="147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3.02(b)</w:t>
      </w:r>
      <w:r>
        <w:rPr>
          <w:rFonts w:ascii="Arial" w:cs="Arial" w:eastAsia="Arial" w:hAnsi="Arial"/>
          <w:sz w:val="16"/>
          <w:szCs w:val="16"/>
          <w:color w:val="auto"/>
        </w:rPr>
        <w:t>, and commencing as of the Effective Date, the below-listed agreements shall terminate, and this Agreement shall replace, solely with respect to the Company Group, the following agreements and arrangements:</w:t>
      </w:r>
    </w:p>
    <w:p>
      <w:pPr>
        <w:spacing w:after="0" w:line="116" w:lineRule="exact"/>
        <w:rPr>
          <w:rFonts w:ascii="Arial" w:cs="Arial" w:eastAsia="Arial" w:hAnsi="Arial"/>
          <w:sz w:val="16"/>
          <w:szCs w:val="16"/>
          <w:color w:val="auto"/>
        </w:rPr>
      </w:pPr>
    </w:p>
    <w:p>
      <w:pPr>
        <w:jc w:val="both"/>
        <w:ind w:left="500" w:firstLine="979"/>
        <w:spacing w:after="0" w:line="223" w:lineRule="auto"/>
        <w:tabs>
          <w:tab w:leader="none" w:pos="196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Services and Shared Expenses Agreement, dated as of January 1, 2004, by and among Genworth North America Corporation (formerly known as GNA Corporation), Genworth Mortgage Insurance Corporation (formerly known as General Electric Mortgage Insurance Corporation), Genworth Mortgage Insurance Corporation of North Carolina (formerly known as General Electric Mortgage Insurance Corporation of North Carolina), Genworth Mortgage Reinsurance Corporation of North Carolina (formerly known as GE Mortgage Reinsurance Corporation of North Carolina), Genworth Financial Assurance Corporation (formerly known as Private Residential Mortgage Insurance Corporation), GE Residential Mortgage Insurance Corporation of North Carolina and General Electric Home Equity Insurance Corporation of North Carolina); and</w:t>
      </w:r>
    </w:p>
    <w:p>
      <w:pPr>
        <w:spacing w:after="0" w:line="123" w:lineRule="exact"/>
        <w:rPr>
          <w:rFonts w:ascii="Arial" w:cs="Arial" w:eastAsia="Arial" w:hAnsi="Arial"/>
          <w:sz w:val="16"/>
          <w:szCs w:val="16"/>
          <w:color w:val="auto"/>
        </w:rPr>
      </w:pPr>
    </w:p>
    <w:p>
      <w:pPr>
        <w:ind w:left="1960" w:hanging="481"/>
        <w:spacing w:after="0"/>
        <w:tabs>
          <w:tab w:leader="none" w:pos="19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other agreements and arrangements between or among the Parties hereto dealing with the subject matter of any Service.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termination of the agreements above under this </w:t>
      </w:r>
      <w:r>
        <w:rPr>
          <w:rFonts w:ascii="Arial" w:cs="Arial" w:eastAsia="Arial" w:hAnsi="Arial"/>
          <w:sz w:val="14"/>
          <w:szCs w:val="14"/>
          <w:u w:val="single" w:color="auto"/>
          <w:color w:val="auto"/>
        </w:rPr>
        <w:t>Section 3.02(a)</w:t>
      </w:r>
      <w:r>
        <w:rPr>
          <w:rFonts w:ascii="Arial" w:cs="Arial" w:eastAsia="Arial" w:hAnsi="Arial"/>
          <w:sz w:val="14"/>
          <w:szCs w:val="14"/>
          <w:color w:val="auto"/>
        </w:rPr>
        <w:t xml:space="preserve"> does not affect any accrued rights and liabilities of the Parties under those agreements as at termination.</w:t>
      </w:r>
    </w:p>
    <w:p>
      <w:pPr>
        <w:spacing w:after="0" w:line="167" w:lineRule="exact"/>
        <w:rPr>
          <w:sz w:val="20"/>
          <w:szCs w:val="20"/>
          <w:color w:val="auto"/>
        </w:rPr>
      </w:pPr>
    </w:p>
    <w:p>
      <w:pPr>
        <w:ind w:left="120" w:firstLine="990"/>
        <w:spacing w:after="0" w:line="245" w:lineRule="auto"/>
        <w:tabs>
          <w:tab w:leader="none" w:pos="147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3.02(a)</w:t>
      </w:r>
      <w:r>
        <w:rPr>
          <w:rFonts w:ascii="Arial" w:cs="Arial" w:eastAsia="Arial" w:hAnsi="Arial"/>
          <w:sz w:val="16"/>
          <w:szCs w:val="16"/>
          <w:color w:val="auto"/>
        </w:rPr>
        <w:t>, above, shall not apply to any of the following agreements, arrangements, commitments or understandings (or to any of the provisions thereof):</w:t>
      </w:r>
    </w:p>
    <w:p>
      <w:pPr>
        <w:spacing w:after="0" w:line="116" w:lineRule="exact"/>
        <w:rPr>
          <w:rFonts w:ascii="Arial" w:cs="Arial" w:eastAsia="Arial" w:hAnsi="Arial"/>
          <w:sz w:val="16"/>
          <w:szCs w:val="16"/>
          <w:color w:val="auto"/>
        </w:rPr>
      </w:pPr>
    </w:p>
    <w:p>
      <w:pPr>
        <w:ind w:left="500" w:firstLine="979"/>
        <w:spacing w:after="0" w:line="245" w:lineRule="auto"/>
        <w:tabs>
          <w:tab w:leader="none" w:pos="196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any agreements, arrangements, commitments or understandings to which any Person other than the Parties hereto and their respective Affiliates is a party; or</w:t>
      </w:r>
    </w:p>
    <w:p>
      <w:pPr>
        <w:spacing w:after="0" w:line="116" w:lineRule="exact"/>
        <w:rPr>
          <w:rFonts w:ascii="Arial" w:cs="Arial" w:eastAsia="Arial" w:hAnsi="Arial"/>
          <w:sz w:val="16"/>
          <w:szCs w:val="16"/>
          <w:color w:val="auto"/>
        </w:rPr>
      </w:pPr>
    </w:p>
    <w:p>
      <w:pPr>
        <w:jc w:val="both"/>
        <w:ind w:left="500" w:firstLine="979"/>
        <w:spacing w:after="0" w:line="233" w:lineRule="auto"/>
        <w:tabs>
          <w:tab w:leader="none" w:pos="197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any accounts payable or accounts receivable between the Genworth Group and the Company Group, attributable to the period up to and including the Effective Date, reflected in the books and records of the Parties or otherwise documented in writing in accordance with past practices in respect of the obligations described in </w:t>
      </w:r>
      <w:r>
        <w:rPr>
          <w:rFonts w:ascii="Arial" w:cs="Arial" w:eastAsia="Arial" w:hAnsi="Arial"/>
          <w:sz w:val="16"/>
          <w:szCs w:val="16"/>
          <w:u w:val="single" w:color="auto"/>
          <w:color w:val="auto"/>
        </w:rPr>
        <w:t>Section 3.02(a)(i)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3.01(a)(ii)</w:t>
      </w:r>
      <w:r>
        <w:rPr>
          <w:rFonts w:ascii="Arial" w:cs="Arial" w:eastAsia="Arial" w:hAnsi="Arial"/>
          <w:sz w:val="16"/>
          <w:szCs w:val="16"/>
          <w:color w:val="auto"/>
        </w:rPr>
        <w:t xml:space="preserve">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098" w:right="319" w:bottom="1440" w:gutter="0" w:footer="0" w:header="0"/>
        </w:sectPr>
      </w:pPr>
    </w:p>
    <w:bookmarkStart w:id="216" w:name="page217"/>
    <w:bookmarkEnd w:id="216"/>
    <w:p>
      <w:pPr>
        <w:ind w:left="1980" w:hanging="501"/>
        <w:spacing w:after="0"/>
        <w:tabs>
          <w:tab w:leader="none" w:pos="19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other agreements, arrangements, commitments or understandings that this Agreement expressly contemplates will survive the Effective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Date.</w:t>
      </w:r>
    </w:p>
    <w:p>
      <w:pPr>
        <w:spacing w:after="0" w:line="126"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Artivle IV</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ADDITIONAL AGREEMENTS</w:t>
      </w:r>
    </w:p>
    <w:p>
      <w:pPr>
        <w:spacing w:after="0" w:line="14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4.01</w:t>
      </w:r>
      <w:r>
        <w:rPr>
          <w:sz w:val="20"/>
          <w:szCs w:val="20"/>
          <w:color w:val="auto"/>
        </w:rPr>
        <w:tab/>
      </w:r>
      <w:r>
        <w:rPr>
          <w:rFonts w:ascii="Arial" w:cs="Arial" w:eastAsia="Arial" w:hAnsi="Arial"/>
          <w:sz w:val="14"/>
          <w:szCs w:val="14"/>
          <w:u w:val="single" w:color="auto"/>
          <w:color w:val="auto"/>
        </w:rPr>
        <w:t>Consents.</w:t>
      </w:r>
    </w:p>
    <w:p>
      <w:pPr>
        <w:spacing w:after="0" w:line="144" w:lineRule="exact"/>
        <w:rPr>
          <w:sz w:val="20"/>
          <w:szCs w:val="20"/>
          <w:color w:val="auto"/>
        </w:rPr>
      </w:pPr>
    </w:p>
    <w:p>
      <w:pPr>
        <w:jc w:val="both"/>
        <w:ind w:firstLine="492"/>
        <w:spacing w:after="0" w:line="253" w:lineRule="auto"/>
        <w:rPr>
          <w:sz w:val="20"/>
          <w:szCs w:val="20"/>
          <w:color w:val="auto"/>
        </w:rPr>
      </w:pPr>
      <w:r>
        <w:rPr>
          <w:rFonts w:ascii="Arial" w:cs="Arial" w:eastAsia="Arial" w:hAnsi="Arial"/>
          <w:sz w:val="15"/>
          <w:szCs w:val="15"/>
          <w:color w:val="auto"/>
        </w:rPr>
        <w:t>The Parties hereto acknowledge and agree that certain consents, approvals, notices, registrations, recordings, filings and other actions with respect to applicable licenses or contracts (collectively, “</w:t>
      </w:r>
      <w:r>
        <w:rPr>
          <w:rFonts w:ascii="Arial" w:cs="Arial" w:eastAsia="Arial" w:hAnsi="Arial"/>
          <w:sz w:val="15"/>
          <w:szCs w:val="15"/>
          <w:u w:val="single" w:color="auto"/>
          <w:color w:val="auto"/>
        </w:rPr>
        <w:t>Consents</w:t>
      </w:r>
      <w:r>
        <w:rPr>
          <w:rFonts w:ascii="Arial" w:cs="Arial" w:eastAsia="Arial" w:hAnsi="Arial"/>
          <w:sz w:val="15"/>
          <w:szCs w:val="15"/>
          <w:color w:val="auto"/>
        </w:rPr>
        <w:t>”) may need to be obtained in connection with the Services. If a Provider becomes aware that it is required to obtain any Consent in order to provide the Services to the Recipient and the Provider is required to incur any charges to a third party for that Consent, then:</w:t>
      </w:r>
    </w:p>
    <w:p>
      <w:pPr>
        <w:spacing w:after="0" w:line="111" w:lineRule="exact"/>
        <w:rPr>
          <w:sz w:val="20"/>
          <w:szCs w:val="20"/>
          <w:color w:val="auto"/>
        </w:rPr>
      </w:pPr>
    </w:p>
    <w:p>
      <w:pPr>
        <w:ind w:left="1480" w:hanging="370"/>
        <w:spacing w:after="0"/>
        <w:tabs>
          <w:tab w:leader="none" w:pos="14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Provider shall notify the Recipient of the Consent and the charges the Provider may be required to pay to a third party in respect of that Consent;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w:t>
      </w:r>
    </w:p>
    <w:p>
      <w:pPr>
        <w:spacing w:after="0" w:line="130" w:lineRule="exact"/>
        <w:rPr>
          <w:sz w:val="20"/>
          <w:szCs w:val="20"/>
          <w:color w:val="auto"/>
        </w:rPr>
      </w:pPr>
    </w:p>
    <w:p>
      <w:pPr>
        <w:jc w:val="both"/>
        <w:ind w:left="120" w:firstLine="990"/>
        <w:spacing w:after="0" w:line="233" w:lineRule="auto"/>
        <w:tabs>
          <w:tab w:leader="none" w:pos="147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unless the Parties agree that the Service which requires that Consent is no longer required, the Provider agrees to use commercially reasonable efforts to obtain that Consent and the Recipient shall promptly reimburse the Provider for any out-of-pocket costs and all charges incurred by the Provider to obtain, perform or otherwise satisfy such Consents.</w:t>
      </w:r>
    </w:p>
    <w:p>
      <w:pPr>
        <w:spacing w:after="0" w:line="121"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4.02</w:t>
      </w:r>
      <w:r>
        <w:rPr>
          <w:sz w:val="20"/>
          <w:szCs w:val="20"/>
          <w:color w:val="auto"/>
        </w:rPr>
        <w:tab/>
      </w:r>
      <w:r>
        <w:rPr>
          <w:rFonts w:ascii="Arial" w:cs="Arial" w:eastAsia="Arial" w:hAnsi="Arial"/>
          <w:sz w:val="14"/>
          <w:szCs w:val="14"/>
          <w:u w:val="single" w:color="auto"/>
          <w:color w:val="auto"/>
        </w:rPr>
        <w:t>Access.</w:t>
      </w:r>
    </w:p>
    <w:p>
      <w:pPr>
        <w:spacing w:after="0" w:line="144" w:lineRule="exact"/>
        <w:rPr>
          <w:sz w:val="20"/>
          <w:szCs w:val="20"/>
          <w:color w:val="auto"/>
        </w:rPr>
      </w:pPr>
    </w:p>
    <w:p>
      <w:pPr>
        <w:jc w:val="both"/>
        <w:ind w:left="120" w:firstLine="990"/>
        <w:spacing w:after="0" w:line="233" w:lineRule="auto"/>
        <w:tabs>
          <w:tab w:leader="none" w:pos="147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Company will allow Genworth and its Representatives reasonable access to the facilities of the Company necessary for the performance of the Genworth Services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for Genworth to fulfill its obligations under this Agreement, provided that in connection with such access, Genworth and its Representatives shall comply with any of the Company’s applicable security and access policies.</w:t>
      </w:r>
    </w:p>
    <w:p>
      <w:pPr>
        <w:spacing w:after="0" w:line="120" w:lineRule="exact"/>
        <w:rPr>
          <w:rFonts w:ascii="Arial" w:cs="Arial" w:eastAsia="Arial" w:hAnsi="Arial"/>
          <w:sz w:val="16"/>
          <w:szCs w:val="16"/>
          <w:color w:val="auto"/>
        </w:rPr>
      </w:pPr>
    </w:p>
    <w:p>
      <w:pPr>
        <w:jc w:val="both"/>
        <w:ind w:left="120" w:firstLine="990"/>
        <w:spacing w:after="0" w:line="233" w:lineRule="auto"/>
        <w:tabs>
          <w:tab w:leader="none" w:pos="147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Genworth will allow the Company and its Representatives reasonable access to the facilities of Genworth necessary for the performance of Company Services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for the Company to fulfill its obligations under this Agreement, provided that in connection with such access, the Company and its Representatives shall comply with any of Genworth’s applicable security and access policies.</w:t>
      </w:r>
    </w:p>
    <w:p>
      <w:pPr>
        <w:spacing w:after="0" w:line="120" w:lineRule="exact"/>
        <w:rPr>
          <w:rFonts w:ascii="Arial" w:cs="Arial" w:eastAsia="Arial" w:hAnsi="Arial"/>
          <w:sz w:val="16"/>
          <w:szCs w:val="16"/>
          <w:color w:val="auto"/>
        </w:rPr>
      </w:pPr>
    </w:p>
    <w:p>
      <w:pPr>
        <w:ind w:left="120" w:firstLine="990"/>
        <w:spacing w:after="0" w:line="245" w:lineRule="auto"/>
        <w:tabs>
          <w:tab w:leader="none" w:pos="147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Recipient shall, in accordance with the Data Security and Cybersecurity Program, have the right to audit or to have its independent auditors audit any and all Services provided by the Provider at least once in any twelve (12) month period.</w:t>
      </w:r>
    </w:p>
    <w:p>
      <w:pPr>
        <w:spacing w:after="0" w:line="116" w:lineRule="exact"/>
        <w:rPr>
          <w:rFonts w:ascii="Arial" w:cs="Arial" w:eastAsia="Arial" w:hAnsi="Arial"/>
          <w:sz w:val="16"/>
          <w:szCs w:val="16"/>
          <w:color w:val="auto"/>
        </w:rPr>
      </w:pPr>
    </w:p>
    <w:p>
      <w:pPr>
        <w:jc w:val="both"/>
        <w:ind w:left="120" w:firstLine="990"/>
        <w:spacing w:after="0" w:line="238" w:lineRule="auto"/>
        <w:tabs>
          <w:tab w:leader="none" w:pos="147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Parties acknowledge that the US regulators including the Securities and Exchange Commission and various state insurance regulators, together with Fannie Mae and Freddie Mac, have supervisory obligations and rights in respect of members of the Genworth Group (“</w:t>
      </w:r>
      <w:r>
        <w:rPr>
          <w:rFonts w:ascii="Arial" w:cs="Arial" w:eastAsia="Arial" w:hAnsi="Arial"/>
          <w:sz w:val="15"/>
          <w:szCs w:val="15"/>
          <w:u w:val="single" w:color="auto"/>
          <w:color w:val="auto"/>
        </w:rPr>
        <w:t>Governmental Authorities</w:t>
      </w:r>
      <w:r>
        <w:rPr>
          <w:rFonts w:ascii="Arial" w:cs="Arial" w:eastAsia="Arial" w:hAnsi="Arial"/>
          <w:sz w:val="15"/>
          <w:szCs w:val="15"/>
          <w:color w:val="auto"/>
        </w:rPr>
        <w:t>”). The Parties agree to cooperate with Governmental Authorities with respect to any review, examination or monitoring, or request for either party’s internal information relating to the Company Services and shall share with each other and Governmental Authorities any such information as those Governmental Authorities shall require pursuant to the exercise of their respective supervisory powers or audit rights. In connection with any matter relating to the Company Services that is identified by Governmental Authorities, the Parties will, to the extent permitted by law, cooperate to review the matter at the time that it is raised, will consult concerning possible responses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097" w:right="319" w:bottom="1440" w:gutter="0" w:footer="0" w:header="0"/>
        </w:sectPr>
      </w:pPr>
    </w:p>
    <w:bookmarkStart w:id="217" w:name="page218"/>
    <w:bookmarkEnd w:id="217"/>
    <w:p>
      <w:pPr>
        <w:spacing w:after="0"/>
        <w:rPr>
          <w:sz w:val="20"/>
          <w:szCs w:val="20"/>
          <w:color w:val="auto"/>
        </w:rPr>
      </w:pPr>
      <w:r>
        <w:rPr>
          <w:rFonts w:ascii="Arial" w:cs="Arial" w:eastAsia="Arial" w:hAnsi="Arial"/>
          <w:sz w:val="15"/>
          <w:szCs w:val="15"/>
          <w:color w:val="auto"/>
        </w:rPr>
        <w:t>consider jointly any regulatory decision including, where such matter involves a regulatory change mandated, the effect of such decision on the Company Services.</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Article V</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COSTS AND DISBURSEMENTS; PAYMENTS</w:t>
      </w:r>
    </w:p>
    <w:p>
      <w:pPr>
        <w:spacing w:after="0" w:line="148" w:lineRule="exact"/>
        <w:rPr>
          <w:sz w:val="20"/>
          <w:szCs w:val="20"/>
          <w:color w:val="auto"/>
        </w:rPr>
      </w:pPr>
    </w:p>
    <w:p>
      <w:pPr>
        <w:ind w:left="380"/>
        <w:spacing w:after="0"/>
        <w:tabs>
          <w:tab w:leader="none" w:pos="1520" w:val="left"/>
        </w:tabs>
        <w:rPr>
          <w:sz w:val="20"/>
          <w:szCs w:val="20"/>
          <w:color w:val="auto"/>
        </w:rPr>
      </w:pPr>
      <w:r>
        <w:rPr>
          <w:rFonts w:ascii="Arial" w:cs="Arial" w:eastAsia="Arial" w:hAnsi="Arial"/>
          <w:sz w:val="16"/>
          <w:szCs w:val="16"/>
          <w:color w:val="auto"/>
        </w:rPr>
        <w:t>Section 5.01</w:t>
      </w:r>
      <w:r>
        <w:rPr>
          <w:sz w:val="20"/>
          <w:szCs w:val="20"/>
          <w:color w:val="auto"/>
        </w:rPr>
        <w:tab/>
      </w:r>
      <w:r>
        <w:rPr>
          <w:rFonts w:ascii="Arial" w:cs="Arial" w:eastAsia="Arial" w:hAnsi="Arial"/>
          <w:sz w:val="14"/>
          <w:szCs w:val="14"/>
          <w:u w:val="single" w:color="auto"/>
          <w:color w:val="auto"/>
        </w:rPr>
        <w:t>Calculation and Adjustment of Service Charges</w:t>
      </w:r>
    </w:p>
    <w:p>
      <w:pPr>
        <w:spacing w:after="0" w:line="144" w:lineRule="exact"/>
        <w:rPr>
          <w:sz w:val="20"/>
          <w:szCs w:val="20"/>
          <w:color w:val="auto"/>
        </w:rPr>
      </w:pPr>
    </w:p>
    <w:p>
      <w:pPr>
        <w:jc w:val="both"/>
        <w:ind w:firstLine="990"/>
        <w:spacing w:after="0" w:line="253" w:lineRule="auto"/>
        <w:tabs>
          <w:tab w:leader="none" w:pos="135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5.01(d)</w:t>
      </w:r>
      <w:r>
        <w:rPr>
          <w:rFonts w:ascii="Arial" w:cs="Arial" w:eastAsia="Arial" w:hAnsi="Arial"/>
          <w:sz w:val="15"/>
          <w:szCs w:val="15"/>
          <w:color w:val="auto"/>
        </w:rPr>
        <w:t>, each Recipient shall pay the applicable service charges (“</w:t>
      </w:r>
      <w:r>
        <w:rPr>
          <w:rFonts w:ascii="Arial" w:cs="Arial" w:eastAsia="Arial" w:hAnsi="Arial"/>
          <w:sz w:val="15"/>
          <w:szCs w:val="15"/>
          <w:u w:val="single" w:color="auto"/>
          <w:color w:val="auto"/>
        </w:rPr>
        <w:t>Service Charges</w:t>
      </w:r>
      <w:r>
        <w:rPr>
          <w:rFonts w:ascii="Arial" w:cs="Arial" w:eastAsia="Arial" w:hAnsi="Arial"/>
          <w:sz w:val="15"/>
          <w:szCs w:val="15"/>
          <w:color w:val="auto"/>
        </w:rPr>
        <w:t xml:space="preserve">”) specified in the Schedules to this Agreement for each Service received by such party in accordance with this </w:t>
      </w:r>
      <w:r>
        <w:rPr>
          <w:rFonts w:ascii="Arial" w:cs="Arial" w:eastAsia="Arial" w:hAnsi="Arial"/>
          <w:sz w:val="15"/>
          <w:szCs w:val="15"/>
          <w:u w:val="single" w:color="auto"/>
          <w:color w:val="auto"/>
        </w:rPr>
        <w:t>Article V</w:t>
      </w:r>
      <w:r>
        <w:rPr>
          <w:rFonts w:ascii="Arial" w:cs="Arial" w:eastAsia="Arial" w:hAnsi="Arial"/>
          <w:sz w:val="15"/>
          <w:szCs w:val="15"/>
          <w:color w:val="auto"/>
        </w:rPr>
        <w:t>. Schedule A indicates for each Service whether the charge for such Service will be (i) Direct Bill Charge; or (ii) Overhead Allocation Charge. Without limiting the foregoing, in no event shall Schedule A be modified, except by agreement of the Parties.</w:t>
      </w:r>
    </w:p>
    <w:p>
      <w:pPr>
        <w:spacing w:after="0" w:line="111" w:lineRule="exact"/>
        <w:rPr>
          <w:rFonts w:ascii="Arial" w:cs="Arial" w:eastAsia="Arial" w:hAnsi="Arial"/>
          <w:sz w:val="15"/>
          <w:szCs w:val="15"/>
          <w:color w:val="auto"/>
        </w:rPr>
      </w:pPr>
    </w:p>
    <w:p>
      <w:pPr>
        <w:jc w:val="both"/>
        <w:ind w:firstLine="990"/>
        <w:spacing w:after="0" w:line="253" w:lineRule="auto"/>
        <w:tabs>
          <w:tab w:leader="none" w:pos="1350"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Schedules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as applicable, set forth the specific Service Charges for the Services, or the basis for the determination thereof, that shall apply from the Effective Date until December 31, 2022. On or before June 30, 2022, the Genworth Services Manager and the Company Services Manager shall have completed a review of the status of each Service, the anticipated need for such Service by the relevant Recipient in the twelve (12) months following December 31, 2022, and the Provider’s costs for delivering the Services. Following such review, the Genworth Services Manager and the Company Services Manager shall jointly determine on behalf of the Parties appropriate modifications to the descriptions and quantities of Services (including termination of specific Services) and the related Service Charges to apply in the calendar year beginning January 1, 2023. Such review and modification procedure shall be repeated for each calendar year period of the term thereafter, with the aforementioned review by the Genworth Services Manager and the Company Services Manager to be completed on or before the last day of June of the then-current period to determine the modifications (if any) which shall apply in respect of the next calendar year. The respective Service Managers shall work collaboratively to schedule the Genworth Services to ensure that the Service Charges will not exceed the Genworth Charges Cap described in </w:t>
      </w:r>
      <w:r>
        <w:rPr>
          <w:rFonts w:ascii="Arial" w:cs="Arial" w:eastAsia="Arial" w:hAnsi="Arial"/>
          <w:sz w:val="14"/>
          <w:szCs w:val="14"/>
          <w:u w:val="single" w:color="auto"/>
          <w:color w:val="auto"/>
        </w:rPr>
        <w:t>Section 5.01(d)</w:t>
      </w:r>
      <w:r>
        <w:rPr>
          <w:rFonts w:ascii="Arial" w:cs="Arial" w:eastAsia="Arial" w:hAnsi="Arial"/>
          <w:sz w:val="14"/>
          <w:szCs w:val="14"/>
          <w:color w:val="auto"/>
        </w:rPr>
        <w:t xml:space="preserve"> below.</w:t>
      </w:r>
    </w:p>
    <w:p>
      <w:pPr>
        <w:spacing w:after="0" w:line="113" w:lineRule="exact"/>
        <w:rPr>
          <w:rFonts w:ascii="Arial" w:cs="Arial" w:eastAsia="Arial" w:hAnsi="Arial"/>
          <w:sz w:val="14"/>
          <w:szCs w:val="14"/>
          <w:color w:val="auto"/>
        </w:rPr>
      </w:pPr>
    </w:p>
    <w:p>
      <w:pPr>
        <w:jc w:val="both"/>
        <w:ind w:firstLine="990"/>
        <w:spacing w:after="0" w:line="238" w:lineRule="auto"/>
        <w:tabs>
          <w:tab w:leader="none" w:pos="135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Parties acknowledge that the provision of each Service is not part of either Provider’s primary business and that the provision of Services by each Provider is intended solely to facilitate the continuity of the Recipient’s business operations during the period from the Effective Date until this Agreement terminates or a Service is no longer provided under this Agreement in accordance with the terms of this Agreement. Accordingly, the Parties hereto acknowledge and agree that: (i) to the extent that a Service was being provided immediately prior to the Effective Date, the Service Charge in respect of that Service has been and shall continue to be calculated in a manner consistent with past practice, with no markup; (ii) to the extent that a Service had not been provided immediately prior to the Effective Date, the Service Charge in respect of that Service shall be calculated to be Provider’s good faith commercially reasonable estimated cost.</w:t>
      </w:r>
    </w:p>
    <w:p>
      <w:pPr>
        <w:spacing w:after="0" w:line="122" w:lineRule="exact"/>
        <w:rPr>
          <w:rFonts w:ascii="Arial" w:cs="Arial" w:eastAsia="Arial" w:hAnsi="Arial"/>
          <w:sz w:val="15"/>
          <w:szCs w:val="15"/>
          <w:color w:val="auto"/>
        </w:rPr>
      </w:pPr>
    </w:p>
    <w:p>
      <w:pPr>
        <w:jc w:val="both"/>
        <w:ind w:firstLine="990"/>
        <w:spacing w:after="0" w:line="233" w:lineRule="auto"/>
        <w:tabs>
          <w:tab w:leader="none" w:pos="135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and the Service Charges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in no event will the portion of the Service Charge attributable to Overhead Allocation Service Charges payable by Company to Genworth exceed the amounts set forth in the following table (the, “</w:t>
      </w:r>
      <w:r>
        <w:rPr>
          <w:rFonts w:ascii="Arial" w:cs="Arial" w:eastAsia="Arial" w:hAnsi="Arial"/>
          <w:sz w:val="16"/>
          <w:szCs w:val="16"/>
          <w:u w:val="single" w:color="auto"/>
          <w:color w:val="auto"/>
        </w:rPr>
        <w:t>Genworth Charges Cap</w:t>
      </w:r>
      <w:r>
        <w:rPr>
          <w:rFonts w:ascii="Arial" w:cs="Arial" w:eastAsia="Arial" w:hAnsi="Arial"/>
          <w:sz w:val="16"/>
          <w:szCs w:val="16"/>
          <w:color w:val="auto"/>
        </w:rPr>
        <w:t>”) for the applicable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60"/>
          </w:cols>
          <w:pgMar w:left="420" w:top="1097" w:right="319" w:bottom="1440" w:gutter="0" w:footer="0" w:header="0"/>
        </w:sectPr>
      </w:pPr>
    </w:p>
    <w:bookmarkStart w:id="218" w:name="page219"/>
    <w:bookmarkEnd w:id="218"/>
    <w:tbl>
      <w:tblPr>
        <w:tblLayout w:type="fixed"/>
        <w:tblInd w:w="10" w:type="dxa"/>
        <w:tblCellMar>
          <w:top w:w="0" w:type="dxa"/>
          <w:left w:w="0" w:type="dxa"/>
          <w:bottom w:w="0" w:type="dxa"/>
          <w:right w:w="0" w:type="dxa"/>
        </w:tblCellMar>
      </w:tblPr>
      <w:tr>
        <w:trPr>
          <w:trHeight w:val="233"/>
        </w:trPr>
        <w:tc>
          <w:tcPr>
            <w:tcW w:w="5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5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Genworth Charges Cap</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1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2021 (full year)</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$36 million</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1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2022</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$25 million</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1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2023</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 million</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1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2024</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 million</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13"/>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2025</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 million</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394"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5.02</w:t>
      </w:r>
      <w:r>
        <w:rPr>
          <w:sz w:val="20"/>
          <w:szCs w:val="20"/>
          <w:color w:val="auto"/>
        </w:rPr>
        <w:tab/>
      </w:r>
      <w:r>
        <w:rPr>
          <w:rFonts w:ascii="Arial" w:cs="Arial" w:eastAsia="Arial" w:hAnsi="Arial"/>
          <w:sz w:val="15"/>
          <w:szCs w:val="15"/>
          <w:u w:val="single" w:color="auto"/>
          <w:color w:val="auto"/>
        </w:rPr>
        <w:t>Invoicing and Payment.</w:t>
      </w:r>
    </w:p>
    <w:p>
      <w:pPr>
        <w:spacing w:after="0" w:line="144" w:lineRule="exact"/>
        <w:rPr>
          <w:sz w:val="20"/>
          <w:szCs w:val="20"/>
          <w:color w:val="auto"/>
        </w:rPr>
      </w:pPr>
    </w:p>
    <w:p>
      <w:pPr>
        <w:jc w:val="both"/>
        <w:ind w:right="20" w:firstLine="492"/>
        <w:spacing w:after="0" w:line="234" w:lineRule="auto"/>
        <w:rPr>
          <w:sz w:val="20"/>
          <w:szCs w:val="20"/>
          <w:color w:val="auto"/>
        </w:rPr>
      </w:pPr>
      <w:r>
        <w:rPr>
          <w:rFonts w:ascii="Arial" w:cs="Arial" w:eastAsia="Arial" w:hAnsi="Arial"/>
          <w:sz w:val="15"/>
          <w:szCs w:val="15"/>
          <w:color w:val="auto"/>
        </w:rPr>
        <w:t>The Provider of each Service shall issue an invoice to the Recipient quarterly in respect of Services provided in the immediately preceding quarter (which will reflect a pro-rated portion of the relevant Service Charges for that quarter in respect of any Service that commences or terminates during that quarter) and the Recipient shall pay all undisputed amounts under each such invoice within forty-five (45) days following its receipt thereof from the Provider. Further, in connection with performance of the Services, the Provider may incur certain out-of-pocket costs (the “</w:t>
      </w:r>
      <w:r>
        <w:rPr>
          <w:rFonts w:ascii="Arial" w:cs="Arial" w:eastAsia="Arial" w:hAnsi="Arial"/>
          <w:sz w:val="15"/>
          <w:szCs w:val="15"/>
          <w:u w:val="single" w:color="auto"/>
          <w:color w:val="auto"/>
        </w:rPr>
        <w:t>Other Costs</w:t>
      </w:r>
      <w:r>
        <w:rPr>
          <w:rFonts w:ascii="Arial" w:cs="Arial" w:eastAsia="Arial" w:hAnsi="Arial"/>
          <w:sz w:val="15"/>
          <w:szCs w:val="15"/>
          <w:color w:val="auto"/>
        </w:rPr>
        <w:t xml:space="preserve">”), which shall, without duplication, either be paid directly by the Recipient or reimbursed to the Provider by the Recipient;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Other Costs shall only be payable by the Company or Genworth, as the case may be, in accordance with this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if (i) such Other Costs have been authorized in writing by the Company Services Manager (if the Company is the Recipient) or the Genworth Services Manager (if Genworth is the Recipient) prior to having been incurred by the Provider and (ii) the Recipient receives from the Provider reasonably detailed data and other documentation sufficient to support the calculation of amounts due to the Provider as a result of such Other Costs. Notwithstanding the preceding sentence, a Provider may not receive an advancement for any costs under this Agreement unless such advancement is to pay for a Service and has been authorized in writing by the Company Services Manager (if the Company is the Recipient) or the Genworth Services Manager (if Genworth is the Recipient).</w:t>
      </w:r>
    </w:p>
    <w:p>
      <w:pPr>
        <w:spacing w:after="0" w:line="124"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5.03</w:t>
      </w:r>
      <w:r>
        <w:rPr>
          <w:sz w:val="20"/>
          <w:szCs w:val="20"/>
          <w:color w:val="auto"/>
        </w:rPr>
        <w:tab/>
      </w:r>
      <w:r>
        <w:rPr>
          <w:rFonts w:ascii="Arial" w:cs="Arial" w:eastAsia="Arial" w:hAnsi="Arial"/>
          <w:sz w:val="15"/>
          <w:szCs w:val="15"/>
          <w:u w:val="single" w:color="auto"/>
          <w:color w:val="auto"/>
        </w:rPr>
        <w:t>Transfer Pricing.</w:t>
      </w:r>
    </w:p>
    <w:p>
      <w:pPr>
        <w:spacing w:after="0" w:line="144" w:lineRule="exact"/>
        <w:rPr>
          <w:sz w:val="20"/>
          <w:szCs w:val="20"/>
          <w:color w:val="auto"/>
        </w:rPr>
      </w:pPr>
    </w:p>
    <w:p>
      <w:pPr>
        <w:jc w:val="both"/>
        <w:ind w:right="20" w:firstLine="492"/>
        <w:spacing w:after="0" w:line="245" w:lineRule="auto"/>
        <w:rPr>
          <w:sz w:val="20"/>
          <w:szCs w:val="20"/>
          <w:color w:val="auto"/>
        </w:rPr>
      </w:pPr>
      <w:r>
        <w:rPr>
          <w:rFonts w:ascii="Arial" w:cs="Arial" w:eastAsia="Arial" w:hAnsi="Arial"/>
          <w:sz w:val="16"/>
          <w:szCs w:val="16"/>
          <w:color w:val="auto"/>
        </w:rPr>
        <w:t>If either of the Parties is required to undertake a transfer pricing study for the purpose of US taxation laws or the Parties otherwise agree to undertake a transfer pricing study in respect of any of the Services under this Agreement, the Parties agree to share any third-party costs of the study in equal proportions.</w:t>
      </w:r>
    </w:p>
    <w:p>
      <w:pPr>
        <w:spacing w:after="0" w:line="113"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Article VI</w:t>
      </w:r>
    </w:p>
    <w:p>
      <w:pPr>
        <w:spacing w:after="0" w:line="14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GENERAL COVENANTS; REPRESENTATIONS AND WARRANTIES</w:t>
      </w:r>
    </w:p>
    <w:p>
      <w:pPr>
        <w:spacing w:after="0" w:line="14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6.01</w:t>
      </w:r>
      <w:r>
        <w:rPr>
          <w:sz w:val="20"/>
          <w:szCs w:val="20"/>
          <w:color w:val="auto"/>
        </w:rPr>
        <w:tab/>
      </w:r>
      <w:r>
        <w:rPr>
          <w:rFonts w:ascii="Arial" w:cs="Arial" w:eastAsia="Arial" w:hAnsi="Arial"/>
          <w:sz w:val="15"/>
          <w:szCs w:val="15"/>
          <w:u w:val="single" w:color="auto"/>
          <w:color w:val="auto"/>
        </w:rPr>
        <w:t>Compliance with Laws.</w:t>
      </w:r>
    </w:p>
    <w:p>
      <w:pPr>
        <w:spacing w:after="0" w:line="144" w:lineRule="exact"/>
        <w:rPr>
          <w:sz w:val="20"/>
          <w:szCs w:val="20"/>
          <w:color w:val="auto"/>
        </w:rPr>
      </w:pPr>
    </w:p>
    <w:p>
      <w:pPr>
        <w:jc w:val="both"/>
        <w:ind w:right="20" w:firstLine="492"/>
        <w:spacing w:after="0" w:line="233" w:lineRule="auto"/>
        <w:rPr>
          <w:sz w:val="20"/>
          <w:szCs w:val="20"/>
          <w:color w:val="auto"/>
        </w:rPr>
      </w:pPr>
      <w:r>
        <w:rPr>
          <w:rFonts w:ascii="Arial" w:cs="Arial" w:eastAsia="Arial" w:hAnsi="Arial"/>
          <w:sz w:val="16"/>
          <w:szCs w:val="16"/>
          <w:color w:val="auto"/>
        </w:rPr>
        <w:t>Each of Genworth and the Company shall (and shall ensure that their respective Affiliates shall) comply with all applicable Laws when providing or receiving the Services or when performing obligations under this Agreement. Without limiting the generality of the foregoing, each of Genworth and the Company shall (and shall ensure that their respective Affiliates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00"/>
          </w:cols>
          <w:pgMar w:left="300" w:top="1125" w:right="299" w:bottom="1440" w:gutter="0" w:footer="0" w:header="0"/>
        </w:sectPr>
      </w:pPr>
    </w:p>
    <w:bookmarkStart w:id="219" w:name="page220"/>
    <w:bookmarkEnd w:id="219"/>
    <w:p>
      <w:pPr>
        <w:jc w:val="both"/>
        <w:spacing w:after="0" w:line="221" w:lineRule="auto"/>
        <w:rPr>
          <w:sz w:val="20"/>
          <w:szCs w:val="20"/>
          <w:color w:val="auto"/>
        </w:rPr>
      </w:pPr>
      <w:r>
        <w:rPr>
          <w:rFonts w:ascii="Arial" w:cs="Arial" w:eastAsia="Arial" w:hAnsi="Arial"/>
          <w:sz w:val="16"/>
          <w:szCs w:val="16"/>
          <w:color w:val="auto"/>
        </w:rPr>
        <w:t>comply with, and shall take all necessary measures to ensure that (a) its actions (or lack of action) do not result in non-compliance by any party (or their Affiliates), with the provisions of the Privacy Act, HIPAA, Gramm-Leach-Bliley Act, and any similar federal or state legislation and regulations, including the provisions relating to the collection, use, retention and disclosure of Personal Information, (b) the transfer of any information hereunder is in compliance with applicable Laws relating to privacy, export control or other similar matters, (c) upon the earlier of (i) receiving a request from the provider of Personal Information and (ii) when such Personal Information is no longer needed in connection with the provision of the applicable Services, the recipient of such Personal Information shall deliver all such Personal Information to such provider in whatever form (or, at the request of the Provider, all physical copies of such Personal Information shall be destroyed and all electronic copies shall be deleted in a manner that ensures the same may not be retrieved or undeleted), and (d) it shall cooperate with any investigation with respect to a possible breach of applicable Laws relating to privacy.</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6.02</w:t>
      </w:r>
      <w:r>
        <w:rPr>
          <w:sz w:val="20"/>
          <w:szCs w:val="20"/>
          <w:color w:val="auto"/>
        </w:rPr>
        <w:tab/>
      </w:r>
      <w:r>
        <w:rPr>
          <w:rFonts w:ascii="Arial" w:cs="Arial" w:eastAsia="Arial" w:hAnsi="Arial"/>
          <w:sz w:val="14"/>
          <w:szCs w:val="14"/>
          <w:u w:val="single" w:color="auto"/>
          <w:color w:val="auto"/>
        </w:rPr>
        <w:t>No Representations and Warranties.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Each party acknowledges and agrees that:</w:t>
      </w:r>
    </w:p>
    <w:p>
      <w:pPr>
        <w:spacing w:after="0" w:line="144" w:lineRule="exact"/>
        <w:rPr>
          <w:sz w:val="20"/>
          <w:szCs w:val="20"/>
          <w:color w:val="auto"/>
        </w:rPr>
      </w:pPr>
    </w:p>
    <w:p>
      <w:pPr>
        <w:ind w:left="1960" w:hanging="481"/>
        <w:spacing w:after="0"/>
        <w:tabs>
          <w:tab w:leader="none" w:pos="1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other party is not in the business of providing services such as the Services to third Parties;</w:t>
      </w:r>
    </w:p>
    <w:p>
      <w:pPr>
        <w:spacing w:after="0" w:line="144" w:lineRule="exact"/>
        <w:rPr>
          <w:rFonts w:ascii="Arial" w:cs="Arial" w:eastAsia="Arial" w:hAnsi="Arial"/>
          <w:sz w:val="16"/>
          <w:szCs w:val="16"/>
          <w:color w:val="auto"/>
        </w:rPr>
      </w:pPr>
    </w:p>
    <w:p>
      <w:pPr>
        <w:ind w:left="1960" w:hanging="481"/>
        <w:spacing w:after="0"/>
        <w:tabs>
          <w:tab w:leader="none" w:pos="1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each party has agreed to provide its respective Services as an accommodation to the other party; and</w:t>
      </w:r>
    </w:p>
    <w:p>
      <w:pPr>
        <w:spacing w:after="0" w:line="144" w:lineRule="exact"/>
        <w:rPr>
          <w:rFonts w:ascii="Arial" w:cs="Arial" w:eastAsia="Arial" w:hAnsi="Arial"/>
          <w:sz w:val="16"/>
          <w:szCs w:val="16"/>
          <w:color w:val="auto"/>
        </w:rPr>
      </w:pPr>
    </w:p>
    <w:p>
      <w:pPr>
        <w:ind w:left="500" w:firstLine="979"/>
        <w:spacing w:after="0" w:line="278" w:lineRule="auto"/>
        <w:tabs>
          <w:tab w:leader="none" w:pos="197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except as otherwise set forth herein, neither party makes any representation or warranty whatsoever regarding the Services or any other matters relating to or arising out of this Agreement (except to the extent that applicable Law does not permit the exclusion of such representation or warranty).</w:t>
      </w:r>
    </w:p>
    <w:p>
      <w:pPr>
        <w:spacing w:after="0" w:line="8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VII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REGARDING SERVICES; LIMITATION ON LIABILITY</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7.01</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The Parties agree that their sole and exclusive remedy pursuant to or in connection with this Agreement shall be a contractual claim for damages, and all other remedies of any description, including equitable remedies, are hereby excluded to the fullest extent permitted by Law.</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7.02</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Nothing in this Agreement shall limit or exclude the liability of either party for: (i) fraud or fraudulent misrepresentation; (ii) where limitation or exclusion is not permitted by Law; or (iii) willful misconduct by the Provider to provide the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7.03</w:t>
      </w:r>
    </w:p>
    <w:p>
      <w:pPr>
        <w:spacing w:after="0" w:line="144" w:lineRule="exact"/>
        <w:rPr>
          <w:sz w:val="20"/>
          <w:szCs w:val="20"/>
          <w:color w:val="auto"/>
        </w:rPr>
      </w:pPr>
    </w:p>
    <w:p>
      <w:pPr>
        <w:jc w:val="both"/>
        <w:ind w:firstLine="492"/>
        <w:spacing w:after="0" w:line="228" w:lineRule="auto"/>
        <w:rPr>
          <w:sz w:val="20"/>
          <w:szCs w:val="20"/>
          <w:color w:val="auto"/>
        </w:rPr>
      </w:pPr>
      <w:r>
        <w:rPr>
          <w:rFonts w:ascii="Arial" w:cs="Arial" w:eastAsia="Arial" w:hAnsi="Arial"/>
          <w:sz w:val="16"/>
          <w:szCs w:val="16"/>
          <w:color w:val="auto"/>
        </w:rPr>
        <w:t xml:space="preserve">Without prejudice to </w:t>
      </w:r>
      <w:r>
        <w:rPr>
          <w:rFonts w:ascii="Arial" w:cs="Arial" w:eastAsia="Arial" w:hAnsi="Arial"/>
          <w:sz w:val="16"/>
          <w:szCs w:val="16"/>
          <w:u w:val="single" w:color="auto"/>
          <w:color w:val="auto"/>
        </w:rPr>
        <w:t>Section 7.01</w:t>
      </w:r>
      <w:r>
        <w:rPr>
          <w:rFonts w:ascii="Arial" w:cs="Arial" w:eastAsia="Arial" w:hAnsi="Arial"/>
          <w:sz w:val="16"/>
          <w:szCs w:val="16"/>
          <w:color w:val="auto"/>
        </w:rPr>
        <w:t>, and notwithstanding anything to the contrary set forth herein, whether or not either party has been advised of the possibility of such damages, neither party shall be liable to the other, whether in contract, tort (including negligence) or restitution, or for breach of statutory duty or misrepresentation, or otherwise, for any: loss of profit (whether direct or indirect); loss of goodwill; loss or corruption of data, loss of business; loss of business opportunity; loss of anticipated saving; or for any special, indirect, punitive, consequential,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00" w:top="1098" w:right="319" w:bottom="1440" w:gutter="0" w:footer="0" w:header="0"/>
        </w:sectPr>
      </w:pPr>
    </w:p>
    <w:bookmarkStart w:id="220" w:name="page221"/>
    <w:bookmarkEnd w:id="220"/>
    <w:p>
      <w:pPr>
        <w:spacing w:after="0"/>
        <w:rPr>
          <w:sz w:val="20"/>
          <w:szCs w:val="20"/>
          <w:color w:val="auto"/>
        </w:rPr>
      </w:pPr>
      <w:r>
        <w:rPr>
          <w:rFonts w:ascii="Arial" w:cs="Arial" w:eastAsia="Arial" w:hAnsi="Arial"/>
          <w:sz w:val="16"/>
          <w:szCs w:val="16"/>
          <w:color w:val="auto"/>
        </w:rPr>
        <w:t>exemplary, statutorily enhanced or similar damages or losses suffered by the other party that arises under or in connection with this Agreement.</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7.04</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Any indemnity contained in this Agreement shall be reduced dollar-for-dollar by any applicable insurance collected by the indemnified party with respect to the claims covered by such indemnity.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7.05</w:t>
      </w:r>
    </w:p>
    <w:p>
      <w:pPr>
        <w:spacing w:after="0" w:line="144" w:lineRule="exact"/>
        <w:rPr>
          <w:sz w:val="20"/>
          <w:szCs w:val="20"/>
          <w:color w:val="auto"/>
        </w:rPr>
      </w:pPr>
    </w:p>
    <w:p>
      <w:pPr>
        <w:jc w:val="both"/>
        <w:ind w:firstLine="492"/>
        <w:spacing w:after="0" w:line="225"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the total aggregate liability of the Company and the Company Group on the one hand and Genworth and the Genworth Group on the other hand under or in connection with this Agreement, arising under contract, tort, negligence, by statute or otherwise howsoever, shall not exceed the Service Charges paid or payable by the Recipient for the twelve (12) -consecutive-month portion of the term of this Agreement preceding the date of the occurrence of the applicable event, act or omission giving rise to such liability or, if fewer than twelve (12) months have elapsed since the date of this Agreement, then twelve (12) times the average monthly Service Charges paid or payable during the elapsed time since the date of this Agreement.</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7.06</w:t>
      </w:r>
      <w:r>
        <w:rPr>
          <w:sz w:val="20"/>
          <w:szCs w:val="20"/>
          <w:color w:val="auto"/>
        </w:rPr>
        <w:tab/>
      </w:r>
      <w:r>
        <w:rPr>
          <w:rFonts w:ascii="Arial" w:cs="Arial" w:eastAsia="Arial" w:hAnsi="Arial"/>
          <w:sz w:val="15"/>
          <w:szCs w:val="15"/>
          <w:u w:val="single" w:color="auto"/>
          <w:color w:val="auto"/>
        </w:rPr>
        <w:t>Indemnification of Each Recipient.</w:t>
      </w:r>
    </w:p>
    <w:p>
      <w:pPr>
        <w:spacing w:after="0" w:line="144" w:lineRule="exact"/>
        <w:rPr>
          <w:sz w:val="20"/>
          <w:szCs w:val="20"/>
          <w:color w:val="auto"/>
        </w:rPr>
      </w:pPr>
    </w:p>
    <w:p>
      <w:pPr>
        <w:jc w:val="both"/>
        <w:ind w:firstLine="492"/>
        <w:spacing w:after="0" w:line="253" w:lineRule="auto"/>
        <w:rPr>
          <w:sz w:val="20"/>
          <w:szCs w:val="20"/>
          <w:color w:val="auto"/>
        </w:rPr>
      </w:pPr>
      <w:r>
        <w:rPr>
          <w:rFonts w:ascii="Arial" w:cs="Arial" w:eastAsia="Arial" w:hAnsi="Arial"/>
          <w:sz w:val="15"/>
          <w:szCs w:val="15"/>
          <w:color w:val="auto"/>
        </w:rPr>
        <w:t>Each Provider shall indemnify, defend and hold harmless a Recipient from and against any and all Liabilities that a Recipient may suffer or incur arising out of or in connection with: (i) any allegation that its use of the Services in accordance with this Agreement infringes the intellectual property of a third party and/or (ii) in the event of fraud, fraudulent misrepresentation, gross negligence or willful misconduct on the part of a Provider in connection with its provision of the Services to a Recipient.</w:t>
      </w:r>
    </w:p>
    <w:p>
      <w:pPr>
        <w:spacing w:after="0" w:line="111"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7.07</w:t>
      </w:r>
      <w:r>
        <w:rPr>
          <w:sz w:val="20"/>
          <w:szCs w:val="20"/>
          <w:color w:val="auto"/>
        </w:rPr>
        <w:tab/>
      </w:r>
      <w:r>
        <w:rPr>
          <w:rFonts w:ascii="Arial" w:cs="Arial" w:eastAsia="Arial" w:hAnsi="Arial"/>
          <w:sz w:val="15"/>
          <w:szCs w:val="15"/>
          <w:u w:val="single" w:color="auto"/>
          <w:color w:val="auto"/>
        </w:rPr>
        <w:t>Indemnification Procedures.</w:t>
      </w:r>
    </w:p>
    <w:p>
      <w:pPr>
        <w:spacing w:after="0" w:line="144" w:lineRule="exact"/>
        <w:rPr>
          <w:sz w:val="20"/>
          <w:szCs w:val="20"/>
          <w:color w:val="auto"/>
        </w:rPr>
      </w:pPr>
    </w:p>
    <w:p>
      <w:pPr>
        <w:jc w:val="both"/>
        <w:ind w:left="120" w:firstLine="990"/>
        <w:spacing w:after="0" w:line="223" w:lineRule="auto"/>
        <w:tabs>
          <w:tab w:leader="none" w:pos="147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an Indemnified Party shall receive notice or otherwise learn of the assertion by a Person (including any Governmental Authority) who is not a member of the Genworth Group or the Company Group of any claim or of the commencement by any such Person of any Action (collectively,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with respect to which an Indemnifying Party may be obligated to provide indemnification, such Indemnified Party shall give such Indemnifying Party written notice thereof within twenty (20) days after becoming aware of such Third-Party Claim. Any such notice shall describe the Third-Party Claim in reasonable detail. Notwithstanding the foregoing, the failure of any Indemnified Party or other Person to give notice shall not relieve the Indemnifying Party of its obligations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except to the extent that such Indemnifying Party is actually and materially prejudiced by such failure to give notice.</w:t>
      </w:r>
    </w:p>
    <w:p>
      <w:pPr>
        <w:spacing w:after="0" w:line="123" w:lineRule="exact"/>
        <w:rPr>
          <w:rFonts w:ascii="Arial" w:cs="Arial" w:eastAsia="Arial" w:hAnsi="Arial"/>
          <w:sz w:val="16"/>
          <w:szCs w:val="16"/>
          <w:color w:val="auto"/>
        </w:rPr>
      </w:pPr>
    </w:p>
    <w:p>
      <w:pPr>
        <w:jc w:val="both"/>
        <w:ind w:left="120" w:firstLine="990"/>
        <w:spacing w:after="0" w:line="223" w:lineRule="auto"/>
        <w:tabs>
          <w:tab w:leader="none" w:pos="147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 Indemnifying Party may elect to defend (and to seek to settle or compromise), at such Indemnifying Party’s own expense and by such Indemnifying Party’s own counsel, any Third-Party Claim. Within thirty (30) days after the receipt of notice from an Indemnified Party (or sooner, if the nature of such Third-Party Claim so requires), the Indemnifying Party shall notify the Indemnified Party of its election whether the Indemnifying Party will assume responsibility for defending such Third-Party Claim, which election shall specify any reservations or exceptions. After notice from an Indemnifying Party to an Indemnified Party of its election to assume the defense of a Third-Party Claim, such Indemnified Party shall have the right to employ separate counsel and to participate in (but not control) the defense, compromise, or settlement thereof, but the fees and expenses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00" w:top="1097" w:right="319" w:bottom="1440" w:gutter="0" w:footer="0" w:header="0"/>
        </w:sectPr>
      </w:pPr>
    </w:p>
    <w:bookmarkStart w:id="221" w:name="page222"/>
    <w:bookmarkEnd w:id="221"/>
    <w:p>
      <w:pPr>
        <w:jc w:val="both"/>
        <w:ind w:left="120"/>
        <w:spacing w:after="0" w:line="244" w:lineRule="auto"/>
        <w:rPr>
          <w:sz w:val="20"/>
          <w:szCs w:val="20"/>
          <w:color w:val="auto"/>
        </w:rPr>
      </w:pPr>
      <w:r>
        <w:rPr>
          <w:rFonts w:ascii="Arial" w:cs="Arial" w:eastAsia="Arial" w:hAnsi="Arial"/>
          <w:sz w:val="15"/>
          <w:szCs w:val="15"/>
          <w:color w:val="auto"/>
        </w:rPr>
        <w:t>counsel shall be the expense of such Indemnified Party except as set forth in the next sentence. If the Indemnifying Party has elected to assume the defense of the Third-Party Claim but has specified, and continues to assert, any reservations or exceptions in such notice, then, in any such case, the reasonable fees and expenses of one separate counsel for all Indemnified Parties shall be borne by the Indemnifying Party, but the Indemnifying Party shall be entitled to reimbursement by the Indemnified Party for payment of any such fees and expenses to the extent that it establishes that such reservations and exceptions were proper.</w:t>
      </w:r>
    </w:p>
    <w:p>
      <w:pPr>
        <w:spacing w:after="0" w:line="119" w:lineRule="exact"/>
        <w:rPr>
          <w:sz w:val="20"/>
          <w:szCs w:val="20"/>
          <w:color w:val="auto"/>
        </w:rPr>
      </w:pPr>
    </w:p>
    <w:p>
      <w:pPr>
        <w:ind w:left="120" w:firstLine="990"/>
        <w:spacing w:after="0" w:line="245" w:lineRule="auto"/>
        <w:tabs>
          <w:tab w:leader="none" w:pos="147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an Indemnifying Party elects not to assume responsibility for defending a Third-Party Claim, or fails to notify an Indemnified Party of its election, such Indemnified Party may defend such Third-Party Claim at the cost and expense of the Indemnifying Party.</w:t>
      </w:r>
    </w:p>
    <w:p>
      <w:pPr>
        <w:spacing w:after="0" w:line="116" w:lineRule="exact"/>
        <w:rPr>
          <w:rFonts w:ascii="Arial" w:cs="Arial" w:eastAsia="Arial" w:hAnsi="Arial"/>
          <w:sz w:val="16"/>
          <w:szCs w:val="16"/>
          <w:color w:val="auto"/>
        </w:rPr>
      </w:pPr>
    </w:p>
    <w:p>
      <w:pPr>
        <w:jc w:val="both"/>
        <w:ind w:left="120" w:firstLine="990"/>
        <w:spacing w:after="0" w:line="238" w:lineRule="auto"/>
        <w:tabs>
          <w:tab w:leader="none" w:pos="147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Unless the Indemnifying Party has failed to assume the defense of the Third-Party Claim in accordance with the terms of this Agreement, no Indemnified Party may settle or compromise any Third-Party Claim without the consent of the Indemnifying Party. No Indemnifying Party shall consent to entry of any judgment or enter into any settlement of any pending or threatened Third-Party Claim in respect of which any Indemnified Party is or could have been a party and indemnity could have been sought hereunder by such Indemnified Party without the consent of the Indemnified Party if (i) the effect thereof is to permit any injunction, declaratory judgment, other order or other nonmonetary relief to be entered, directly or indirectly against such Indemnified Party and (ii) such settlement does not include an unconditional release of such Indemnified Party from all liability on claims that are the subject matter of such Third-Party Claim.</w:t>
      </w:r>
    </w:p>
    <w:p>
      <w:pPr>
        <w:spacing w:after="0" w:line="122" w:lineRule="exact"/>
        <w:rPr>
          <w:rFonts w:ascii="Arial" w:cs="Arial" w:eastAsia="Arial" w:hAnsi="Arial"/>
          <w:sz w:val="15"/>
          <w:szCs w:val="15"/>
          <w:color w:val="auto"/>
        </w:rPr>
      </w:pPr>
    </w:p>
    <w:p>
      <w:pPr>
        <w:ind w:left="1480" w:hanging="370"/>
        <w:spacing w:after="0"/>
        <w:tabs>
          <w:tab w:leader="none" w:pos="14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shall not apply to taxes (which are covered by the Tax Allocation Agreement).</w:t>
      </w:r>
    </w:p>
    <w:p>
      <w:pPr>
        <w:spacing w:after="0" w:line="329"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7.08</w:t>
      </w:r>
      <w:r>
        <w:rPr>
          <w:sz w:val="20"/>
          <w:szCs w:val="20"/>
          <w:color w:val="auto"/>
        </w:rPr>
        <w:tab/>
      </w:r>
      <w:r>
        <w:rPr>
          <w:rFonts w:ascii="Arial" w:cs="Arial" w:eastAsia="Arial" w:hAnsi="Arial"/>
          <w:sz w:val="15"/>
          <w:szCs w:val="15"/>
          <w:u w:val="single" w:color="auto"/>
          <w:color w:val="auto"/>
        </w:rPr>
        <w:t>Liability for Payment Obligations.</w:t>
      </w:r>
    </w:p>
    <w:p>
      <w:pPr>
        <w:spacing w:after="0" w:line="144" w:lineRule="exact"/>
        <w:rPr>
          <w:sz w:val="20"/>
          <w:szCs w:val="20"/>
          <w:color w:val="auto"/>
        </w:rPr>
      </w:pPr>
    </w:p>
    <w:p>
      <w:pPr>
        <w:jc w:val="both"/>
        <w:ind w:firstLine="492"/>
        <w:spacing w:after="0" w:line="233" w:lineRule="auto"/>
        <w:rPr>
          <w:sz w:val="20"/>
          <w:szCs w:val="20"/>
          <w:color w:val="auto"/>
        </w:rPr>
      </w:pPr>
      <w:r>
        <w:rPr>
          <w:rFonts w:ascii="Arial" w:cs="Arial" w:eastAsia="Arial" w:hAnsi="Arial"/>
          <w:sz w:val="15"/>
          <w:szCs w:val="15"/>
          <w:color w:val="auto"/>
        </w:rPr>
        <w:t xml:space="preserve">Nothing in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shall be deemed to eliminate or limit, in any respect, Genworth’s or the Company’s express obligation in this Agreement to pay or reimburse, as applicable, for (a) Service Charges for Services rendered in accordance with this Agreement, (b) Other Costs, (c) amounts in respect of conversion services provided pursuant to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(Additional Support), (d) amounts payable with respect to Consents in accordance with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(e) amounts payable or reimbursable pursuant to </w:t>
      </w: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(Books and Records), (f) amounts payable or reimbursable pursuant to </w:t>
      </w:r>
      <w:r>
        <w:rPr>
          <w:rFonts w:ascii="Arial" w:cs="Arial" w:eastAsia="Arial" w:hAnsi="Arial"/>
          <w:sz w:val="15"/>
          <w:szCs w:val="15"/>
          <w:u w:val="single" w:color="auto"/>
          <w:color w:val="auto"/>
        </w:rPr>
        <w:t>Section 10.06</w:t>
      </w:r>
      <w:r>
        <w:rPr>
          <w:rFonts w:ascii="Arial" w:cs="Arial" w:eastAsia="Arial" w:hAnsi="Arial"/>
          <w:sz w:val="15"/>
          <w:szCs w:val="15"/>
          <w:color w:val="auto"/>
        </w:rPr>
        <w:t xml:space="preserve"> (Regulatory Approval and Compliance), and</w:t>
      </w:r>
    </w:p>
    <w:p>
      <w:pPr>
        <w:spacing w:after="0" w:line="1" w:lineRule="exact"/>
        <w:rPr>
          <w:sz w:val="20"/>
          <w:szCs w:val="20"/>
          <w:color w:val="auto"/>
        </w:rPr>
      </w:pPr>
    </w:p>
    <w:p>
      <w:pPr>
        <w:ind w:left="240" w:hanging="238"/>
        <w:spacing w:after="0"/>
        <w:tabs>
          <w:tab w:leader="none" w:pos="2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amounts payable or reimbursable pursuant to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(Assignment; No Third Party Beneficiaries).</w:t>
      </w:r>
    </w:p>
    <w:p>
      <w:pPr>
        <w:spacing w:after="0" w:line="13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Section 7.09</w:t>
      </w:r>
      <w:r>
        <w:rPr>
          <w:rFonts w:ascii="Arial" w:cs="Arial" w:eastAsia="Arial" w:hAnsi="Arial"/>
          <w:sz w:val="15"/>
          <w:szCs w:val="15"/>
          <w:u w:val="single" w:color="auto"/>
          <w:color w:val="auto"/>
        </w:rPr>
        <w:t>Benefit of Agreement.</w:t>
      </w:r>
    </w:p>
    <w:p>
      <w:pPr>
        <w:spacing w:after="0" w:line="144" w:lineRule="exact"/>
        <w:rPr>
          <w:sz w:val="20"/>
          <w:szCs w:val="20"/>
          <w:color w:val="auto"/>
        </w:rPr>
      </w:pPr>
    </w:p>
    <w:p>
      <w:pPr>
        <w:jc w:val="both"/>
        <w:ind w:firstLine="492"/>
        <w:spacing w:after="0" w:line="228" w:lineRule="auto"/>
        <w:rPr>
          <w:sz w:val="20"/>
          <w:szCs w:val="20"/>
          <w:color w:val="auto"/>
        </w:rPr>
      </w:pPr>
      <w:r>
        <w:rPr>
          <w:rFonts w:ascii="Arial" w:cs="Arial" w:eastAsia="Arial" w:hAnsi="Arial"/>
          <w:sz w:val="16"/>
          <w:szCs w:val="16"/>
          <w:color w:val="auto"/>
        </w:rPr>
        <w:t>Genworth enters into this Agreement for itself and holds the benefit of this Agreement on trust for its Affiliates and Genworth’s and its Affiliates’ respective directors, officers and employees and each of the heirs, executors, successors and assigns of the foregoing. The Company enters into this Agreement for itself and holds the benefit of this Agreement on trust for its Affiliates and the Company’s and its Affiliates’ respective directors, officers and employees and each of the heirs, executors, successors and assigns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300" w:top="1098" w:right="319" w:bottom="1440" w:gutter="0" w:footer="0" w:header="0"/>
        </w:sectPr>
      </w:pPr>
    </w:p>
    <w:bookmarkStart w:id="222" w:name="page223"/>
    <w:bookmarkEnd w:id="222"/>
    <w:p>
      <w:pPr>
        <w:ind w:left="5360"/>
        <w:spacing w:after="0"/>
        <w:rPr>
          <w:sz w:val="20"/>
          <w:szCs w:val="20"/>
          <w:color w:val="auto"/>
        </w:rPr>
      </w:pPr>
      <w:r>
        <w:rPr>
          <w:rFonts w:ascii="Arial" w:cs="Arial" w:eastAsia="Arial" w:hAnsi="Arial"/>
          <w:sz w:val="16"/>
          <w:szCs w:val="16"/>
          <w:b w:val="1"/>
          <w:bCs w:val="1"/>
          <w:color w:val="auto"/>
        </w:rPr>
        <w:t>Article VIII</w:t>
      </w:r>
    </w:p>
    <w:p>
      <w:pPr>
        <w:spacing w:after="0" w:line="14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DISPUTE RESOLUTION</w:t>
      </w:r>
    </w:p>
    <w:p>
      <w:pPr>
        <w:spacing w:after="0" w:line="333"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8.01</w:t>
      </w:r>
      <w:r>
        <w:rPr>
          <w:sz w:val="20"/>
          <w:szCs w:val="20"/>
          <w:color w:val="auto"/>
        </w:rPr>
        <w:tab/>
      </w:r>
      <w:r>
        <w:rPr>
          <w:rFonts w:ascii="Arial" w:cs="Arial" w:eastAsia="Arial" w:hAnsi="Arial"/>
          <w:sz w:val="14"/>
          <w:szCs w:val="14"/>
          <w:u w:val="single" w:color="auto"/>
          <w:color w:val="auto"/>
        </w:rPr>
        <w:t>General Provisions.</w:t>
      </w:r>
    </w:p>
    <w:p>
      <w:pPr>
        <w:spacing w:after="0" w:line="144" w:lineRule="exact"/>
        <w:rPr>
          <w:sz w:val="20"/>
          <w:szCs w:val="20"/>
          <w:color w:val="auto"/>
        </w:rPr>
      </w:pPr>
    </w:p>
    <w:p>
      <w:pPr>
        <w:jc w:val="both"/>
        <w:ind w:left="120" w:firstLine="990"/>
        <w:spacing w:after="0" w:line="253" w:lineRule="auto"/>
        <w:tabs>
          <w:tab w:leader="none" w:pos="1471"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Any dispute, controversy or claim arising out of or relating to this Agreement or the validity, interpretation, breach or termination thereof and any question of the arbitral tribunal’s jurisdiction or the existence, scope or validity of this arbitration agreement or the arbitrability of any claim (a “Dispute”), shall be resolved in accordance with the procedures set forth in this </w:t>
      </w:r>
      <w:r>
        <w:rPr>
          <w:rFonts w:ascii="Arial" w:cs="Arial" w:eastAsia="Arial" w:hAnsi="Arial"/>
          <w:sz w:val="15"/>
          <w:szCs w:val="15"/>
          <w:u w:val="single" w:color="auto"/>
          <w:color w:val="auto"/>
        </w:rPr>
        <w:t>Article VIII</w:t>
      </w:r>
      <w:r>
        <w:rPr>
          <w:rFonts w:ascii="Arial" w:cs="Arial" w:eastAsia="Arial" w:hAnsi="Arial"/>
          <w:sz w:val="15"/>
          <w:szCs w:val="15"/>
          <w:color w:val="auto"/>
        </w:rPr>
        <w:t>, which shall be the sole and exclusive procedures for the resolution of any such Dispute.</w:t>
      </w:r>
    </w:p>
    <w:p>
      <w:pPr>
        <w:spacing w:after="0" w:line="111" w:lineRule="exact"/>
        <w:rPr>
          <w:rFonts w:ascii="Arial" w:cs="Arial" w:eastAsia="Arial" w:hAnsi="Arial"/>
          <w:sz w:val="15"/>
          <w:szCs w:val="15"/>
          <w:color w:val="auto"/>
        </w:rPr>
      </w:pPr>
    </w:p>
    <w:p>
      <w:pPr>
        <w:jc w:val="both"/>
        <w:ind w:left="120" w:firstLine="990"/>
        <w:spacing w:after="0" w:line="223" w:lineRule="auto"/>
        <w:tabs>
          <w:tab w:leader="none" w:pos="147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Commencing with a request contemplated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set forth below, all communications between the Parties or their representatives in connection with the Parties’ negotiations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(including any communications with or statements by the mediator pursuant to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below), shall be deemed to have been delivered in furtherance of settlement negotiations (without regard for any labelling or lack of labelling of such communications), shall be exempt from discovery and production, and shall not be admissible in evidence for any reason (whether as an admission or otherwise), in any arbitral or other proceeding for the resolution of the Dispute, provided that evidence that is otherwise admissible or discoverable shall not be rendered inadmissible or non-discoverable as a result of its use in the negotiation.</w:t>
      </w:r>
    </w:p>
    <w:p>
      <w:pPr>
        <w:spacing w:after="0" w:line="123" w:lineRule="exact"/>
        <w:rPr>
          <w:rFonts w:ascii="Arial" w:cs="Arial" w:eastAsia="Arial" w:hAnsi="Arial"/>
          <w:sz w:val="16"/>
          <w:szCs w:val="16"/>
          <w:color w:val="auto"/>
        </w:rPr>
      </w:pPr>
    </w:p>
    <w:p>
      <w:pPr>
        <w:jc w:val="both"/>
        <w:ind w:left="120" w:firstLine="990"/>
        <w:spacing w:after="0" w:line="233" w:lineRule="auto"/>
        <w:tabs>
          <w:tab w:leader="none" w:pos="14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Parties expressly waive and forego any right to (i) special, indirect, incidental, punitive, consequential, exemplary, statutorily-enhanced or similar damages in excess of compensatory damages (provided that liability for any such damages with respect to a Third- Party Claim shall be considered direct damages) and (ii) trial by jury.</w:t>
      </w:r>
    </w:p>
    <w:p>
      <w:pPr>
        <w:spacing w:after="0" w:line="120" w:lineRule="exact"/>
        <w:rPr>
          <w:rFonts w:ascii="Arial" w:cs="Arial" w:eastAsia="Arial" w:hAnsi="Arial"/>
          <w:sz w:val="16"/>
          <w:szCs w:val="16"/>
          <w:color w:val="auto"/>
        </w:rPr>
      </w:pPr>
    </w:p>
    <w:p>
      <w:pPr>
        <w:ind w:left="1480" w:hanging="370"/>
        <w:spacing w:after="0"/>
        <w:tabs>
          <w:tab w:leader="none" w:pos="14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specific procedures set forth below, including but not limited to the time limits referenced therein, may be modified by agreement of the Parties</w:t>
      </w:r>
    </w:p>
    <w:p>
      <w:pPr>
        <w:spacing w:after="0" w:line="5"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6"/>
          <w:szCs w:val="16"/>
          <w:color w:val="auto"/>
        </w:rPr>
        <w:t>in writing.</w:t>
      </w:r>
    </w:p>
    <w:p>
      <w:pPr>
        <w:spacing w:after="0" w:line="130" w:lineRule="exact"/>
        <w:rPr>
          <w:rFonts w:ascii="Arial" w:cs="Arial" w:eastAsia="Arial" w:hAnsi="Arial"/>
          <w:sz w:val="15"/>
          <w:szCs w:val="15"/>
          <w:color w:val="auto"/>
        </w:rPr>
      </w:pPr>
    </w:p>
    <w:p>
      <w:pPr>
        <w:jc w:val="both"/>
        <w:ind w:left="120" w:firstLine="990"/>
        <w:spacing w:after="0" w:line="233" w:lineRule="auto"/>
        <w:tabs>
          <w:tab w:leader="none" w:pos="14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all applicable statutes of limitations and defenses based upon the passage of time with respect to any Dispute shall be tolled while the procedures specified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are pending with respect to such Dispute. The Parties will take such action, if any, required to effectuate such tolling.</w:t>
      </w:r>
    </w:p>
    <w:p>
      <w:pPr>
        <w:spacing w:after="0" w:line="305"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8.02</w:t>
      </w:r>
      <w:r>
        <w:rPr>
          <w:sz w:val="20"/>
          <w:szCs w:val="20"/>
          <w:color w:val="auto"/>
        </w:rPr>
        <w:tab/>
      </w:r>
      <w:r>
        <w:rPr>
          <w:rFonts w:ascii="Arial" w:cs="Arial" w:eastAsia="Arial" w:hAnsi="Arial"/>
          <w:sz w:val="14"/>
          <w:szCs w:val="14"/>
          <w:u w:val="single" w:color="auto"/>
          <w:color w:val="auto"/>
        </w:rPr>
        <w:t>Consideration by Senior Executives.</w:t>
      </w:r>
    </w:p>
    <w:p>
      <w:pPr>
        <w:spacing w:after="0" w:line="144" w:lineRule="exact"/>
        <w:rPr>
          <w:sz w:val="20"/>
          <w:szCs w:val="20"/>
          <w:color w:val="auto"/>
        </w:rPr>
      </w:pPr>
    </w:p>
    <w:p>
      <w:pPr>
        <w:jc w:val="both"/>
        <w:ind w:firstLine="492"/>
        <w:spacing w:after="0" w:line="238" w:lineRule="auto"/>
        <w:rPr>
          <w:sz w:val="20"/>
          <w:szCs w:val="20"/>
          <w:color w:val="auto"/>
        </w:rPr>
      </w:pPr>
      <w:r>
        <w:rPr>
          <w:rFonts w:ascii="Arial" w:cs="Arial" w:eastAsia="Arial" w:hAnsi="Arial"/>
          <w:sz w:val="15"/>
          <w:szCs w:val="15"/>
          <w:color w:val="auto"/>
        </w:rPr>
        <w:t>If a Dispute is not resolved in the normal course of business at the operational level, the Parties shall attempt in good faith to resolve such Dispute by negotiation between the senior-most executives of each Party or their respective senior-level designees. Either Party may initiate the executive negotiation process by providing a written notice of such Dispute to the other (the “Initial Notice”). Within fifteen (15) days after delivery of the Initial Notice, the receiving Party shall submit to the other a written response (the “Response”). The Initial Notice and the Response shall include (i) a statement of the Dispute and of each Party’s position, and (ii) the name and title of the executive who will represent that Party and of any other person who will accompany the executive. Such executives shall meet in person, by telephone or by videoconference within ten (10) Business Days of the date of the Response to seek a resolution of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00" w:top="1093" w:right="319" w:bottom="1440" w:gutter="0" w:footer="0" w:header="0"/>
        </w:sectPr>
      </w:pPr>
    </w:p>
    <w:bookmarkStart w:id="223" w:name="page224"/>
    <w:bookmarkEnd w:id="223"/>
    <w:p>
      <w:pPr>
        <w:ind w:left="500"/>
        <w:spacing w:after="0"/>
        <w:tabs>
          <w:tab w:leader="none" w:pos="1640" w:val="left"/>
        </w:tabs>
        <w:rPr>
          <w:sz w:val="20"/>
          <w:szCs w:val="20"/>
          <w:color w:val="auto"/>
        </w:rPr>
      </w:pPr>
      <w:r>
        <w:rPr>
          <w:rFonts w:ascii="Arial" w:cs="Arial" w:eastAsia="Arial" w:hAnsi="Arial"/>
          <w:sz w:val="16"/>
          <w:szCs w:val="16"/>
          <w:color w:val="auto"/>
        </w:rPr>
        <w:t>Section 8.03</w:t>
      </w:r>
      <w:r>
        <w:rPr>
          <w:sz w:val="20"/>
          <w:szCs w:val="20"/>
          <w:color w:val="auto"/>
        </w:rPr>
        <w:tab/>
      </w:r>
      <w:r>
        <w:rPr>
          <w:rFonts w:ascii="Arial" w:cs="Arial" w:eastAsia="Arial" w:hAnsi="Arial"/>
          <w:sz w:val="15"/>
          <w:szCs w:val="15"/>
          <w:u w:val="single" w:color="auto"/>
          <w:color w:val="auto"/>
        </w:rPr>
        <w:t>Mediation.</w:t>
      </w:r>
    </w:p>
    <w:p>
      <w:pPr>
        <w:spacing w:after="0" w:line="144" w:lineRule="exact"/>
        <w:rPr>
          <w:sz w:val="20"/>
          <w:szCs w:val="20"/>
          <w:color w:val="auto"/>
        </w:rPr>
      </w:pPr>
    </w:p>
    <w:p>
      <w:pPr>
        <w:jc w:val="both"/>
        <w:ind w:firstLine="492"/>
        <w:spacing w:after="0" w:line="225" w:lineRule="auto"/>
        <w:rPr>
          <w:sz w:val="20"/>
          <w:szCs w:val="20"/>
          <w:color w:val="auto"/>
        </w:rPr>
      </w:pPr>
      <w:r>
        <w:rPr>
          <w:rFonts w:ascii="Arial" w:cs="Arial" w:eastAsia="Arial" w:hAnsi="Arial"/>
          <w:sz w:val="16"/>
          <w:szCs w:val="16"/>
          <w:color w:val="auto"/>
        </w:rPr>
        <w:t xml:space="preserve">If a Dispute is not resolved in writing by negotiation as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within thirty (30) days from the date of the Response, such Dispute shall be submitted, at the written request of either Party, to mediation pursuant to the Mediation Procedures of the International Institute for Conflict Prevention and Resolution (“CPR”) then in effect, except as modified herein. The Parties shall jointly select a mediator from the CPR Panels of Distinguished Neutrals. If the Parties are unable to select a mutually agreeable mediator within twenty (20) days following the submission of the Dispute to the CPR, the CPR shall select the mediator from the CPR Panels of Distinguished Neutrals.</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8.04</w:t>
      </w:r>
      <w:r>
        <w:rPr>
          <w:sz w:val="20"/>
          <w:szCs w:val="20"/>
          <w:color w:val="auto"/>
        </w:rPr>
        <w:tab/>
      </w:r>
      <w:r>
        <w:rPr>
          <w:rFonts w:ascii="Arial" w:cs="Arial" w:eastAsia="Arial" w:hAnsi="Arial"/>
          <w:sz w:val="16"/>
          <w:szCs w:val="16"/>
          <w:u w:val="single" w:color="auto"/>
          <w:color w:val="auto"/>
        </w:rPr>
        <w:t>Arbitration.</w:t>
      </w:r>
    </w:p>
    <w:p>
      <w:pPr>
        <w:spacing w:after="0" w:line="144" w:lineRule="exact"/>
        <w:rPr>
          <w:sz w:val="20"/>
          <w:szCs w:val="20"/>
          <w:color w:val="auto"/>
        </w:rPr>
      </w:pPr>
    </w:p>
    <w:p>
      <w:pPr>
        <w:jc w:val="both"/>
        <w:ind w:left="120" w:firstLine="990"/>
        <w:spacing w:after="0" w:line="228" w:lineRule="auto"/>
        <w:tabs>
          <w:tab w:leader="none" w:pos="147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a Dispute is not resolved in writing by mediation as provided in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within thirty (30) days of the selection of a mediator, such Dispute shall be submitted, at the request of either Party, to final and binding arbitration pursuant to the CPR Rules for Administered Arbitration then in effect, except as modified herein (the “CPR Arbitration Rules”). The Parties consent to a single, consolidated arbitration for all known Disputes existing at the time of the arbitration and for which arbitration is permitted.</w:t>
      </w:r>
    </w:p>
    <w:p>
      <w:pPr>
        <w:spacing w:after="0" w:line="121" w:lineRule="exact"/>
        <w:rPr>
          <w:rFonts w:ascii="Arial" w:cs="Arial" w:eastAsia="Arial" w:hAnsi="Arial"/>
          <w:sz w:val="16"/>
          <w:szCs w:val="16"/>
          <w:color w:val="auto"/>
        </w:rPr>
      </w:pPr>
    </w:p>
    <w:p>
      <w:pPr>
        <w:jc w:val="both"/>
        <w:ind w:left="120" w:firstLine="990"/>
        <w:spacing w:after="0" w:line="222" w:lineRule="auto"/>
        <w:tabs>
          <w:tab w:leader="none" w:pos="147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arbitral tribunal shall be composed of three (3) arbitrators. In accordance with the CPR Arbitration Rules, the Party commencing the arbitration shall designate an arbitrator in the notice of arbitration and the other Party shall designate an arbitrator in its notice of defense. The two arbitrators so designated shall nominate a third arbitrator, who shall serve as chair of the arbitral tribunal, within thirty (30) days of the confirmation by the CPR of the appointment of the second arbitrator. On the request of any Party, any arbitrator not timely nominated shall be appointed by the CPR in accordance with the CPR Arbitration Rules. Unless the Parties agree otherwise, the chair of the arbitral tribunal shall be either (i) a former chancellor or vice chancellor of the Delaware Court of Chancery or (ii) a member of the Delaware bar with at least 10 years of experience in Court of Chancery matters. The seat of the arbitration shall be New York, New York. The arbitration and this arbitration agreement shall be governed by the Federal Arbitration Act, 9 U.S.C. §§ 1 et seq.</w:t>
      </w:r>
    </w:p>
    <w:p>
      <w:pPr>
        <w:spacing w:after="0" w:line="121" w:lineRule="exact"/>
        <w:rPr>
          <w:rFonts w:ascii="Arial" w:cs="Arial" w:eastAsia="Arial" w:hAnsi="Arial"/>
          <w:sz w:val="16"/>
          <w:szCs w:val="16"/>
          <w:color w:val="auto"/>
        </w:rPr>
      </w:pPr>
    </w:p>
    <w:p>
      <w:pPr>
        <w:ind w:left="120" w:firstLine="990"/>
        <w:spacing w:after="0" w:line="245" w:lineRule="auto"/>
        <w:tabs>
          <w:tab w:leader="none" w:pos="147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Parties agree that judgment on any award or order resulting from an arbitration conducted under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may be entered and enforced in any court having jurisdiction over any Party or any of its assets.</w:t>
      </w:r>
    </w:p>
    <w:p>
      <w:pPr>
        <w:spacing w:after="0" w:line="116" w:lineRule="exact"/>
        <w:rPr>
          <w:rFonts w:ascii="Arial" w:cs="Arial" w:eastAsia="Arial" w:hAnsi="Arial"/>
          <w:sz w:val="16"/>
          <w:szCs w:val="16"/>
          <w:color w:val="auto"/>
        </w:rPr>
      </w:pPr>
    </w:p>
    <w:p>
      <w:pPr>
        <w:jc w:val="both"/>
        <w:ind w:left="120" w:firstLine="990"/>
        <w:spacing w:after="0" w:line="233" w:lineRule="auto"/>
        <w:tabs>
          <w:tab w:leader="none" w:pos="147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Except as expressly permitted by this Agreement, no Party will commence or voluntarily participate in any court action or proceeding concerning a Dispute, except (i) for enforcement as contemplated by </w:t>
      </w:r>
      <w:r>
        <w:rPr>
          <w:rFonts w:ascii="Arial" w:cs="Arial" w:eastAsia="Arial" w:hAnsi="Arial"/>
          <w:sz w:val="16"/>
          <w:szCs w:val="16"/>
          <w:u w:val="single" w:color="auto"/>
          <w:color w:val="auto"/>
        </w:rPr>
        <w:t>Section 8.04(c)</w:t>
      </w:r>
      <w:r>
        <w:rPr>
          <w:rFonts w:ascii="Arial" w:cs="Arial" w:eastAsia="Arial" w:hAnsi="Arial"/>
          <w:sz w:val="16"/>
          <w:szCs w:val="16"/>
          <w:color w:val="auto"/>
        </w:rPr>
        <w:t xml:space="preserve"> above; (ii) to challenge or vacate an award issued by the arbitral tribunal; or (iii) for interim relief as provided in </w:t>
      </w:r>
      <w:r>
        <w:rPr>
          <w:rFonts w:ascii="Arial" w:cs="Arial" w:eastAsia="Arial" w:hAnsi="Arial"/>
          <w:sz w:val="16"/>
          <w:szCs w:val="16"/>
          <w:u w:val="single" w:color="auto"/>
          <w:color w:val="auto"/>
        </w:rPr>
        <w:t>Section 8.04(e)</w:t>
      </w:r>
      <w:r>
        <w:rPr>
          <w:rFonts w:ascii="Arial" w:cs="Arial" w:eastAsia="Arial" w:hAnsi="Arial"/>
          <w:sz w:val="16"/>
          <w:szCs w:val="16"/>
          <w:color w:val="auto"/>
        </w:rPr>
        <w:t xml:space="preserve"> below.</w:t>
      </w:r>
    </w:p>
    <w:p>
      <w:pPr>
        <w:spacing w:after="0" w:line="120" w:lineRule="exact"/>
        <w:rPr>
          <w:rFonts w:ascii="Arial" w:cs="Arial" w:eastAsia="Arial" w:hAnsi="Arial"/>
          <w:sz w:val="16"/>
          <w:szCs w:val="16"/>
          <w:color w:val="auto"/>
        </w:rPr>
      </w:pPr>
    </w:p>
    <w:p>
      <w:pPr>
        <w:jc w:val="both"/>
        <w:ind w:left="120" w:firstLine="990"/>
        <w:spacing w:after="0" w:line="244" w:lineRule="auto"/>
        <w:tabs>
          <w:tab w:leader="none" w:pos="147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Until the arbitral tribunal has been constituted, either Party may seek interim relief in aid of arbitration, to preserve the </w:t>
      </w:r>
      <w:r>
        <w:rPr>
          <w:rFonts w:ascii="Arial" w:cs="Arial" w:eastAsia="Arial" w:hAnsi="Arial"/>
          <w:sz w:val="15"/>
          <w:szCs w:val="15"/>
          <w:i w:val="1"/>
          <w:iCs w:val="1"/>
          <w:color w:val="auto"/>
        </w:rPr>
        <w:t>status quo</w:t>
      </w:r>
      <w:r>
        <w:rPr>
          <w:rFonts w:ascii="Arial" w:cs="Arial" w:eastAsia="Arial" w:hAnsi="Arial"/>
          <w:sz w:val="15"/>
          <w:szCs w:val="15"/>
          <w:color w:val="auto"/>
        </w:rPr>
        <w:t xml:space="preserve">, or for the purposes set out in </w:t>
      </w:r>
      <w:r>
        <w:rPr>
          <w:rFonts w:ascii="Arial" w:cs="Arial" w:eastAsia="Arial" w:hAnsi="Arial"/>
          <w:sz w:val="15"/>
          <w:szCs w:val="15"/>
          <w:u w:val="single" w:color="auto"/>
          <w:color w:val="auto"/>
        </w:rPr>
        <w:t>Section 8.04(d)</w:t>
      </w:r>
      <w:r>
        <w:rPr>
          <w:rFonts w:ascii="Arial" w:cs="Arial" w:eastAsia="Arial" w:hAnsi="Arial"/>
          <w:sz w:val="15"/>
          <w:szCs w:val="15"/>
          <w:color w:val="auto"/>
        </w:rPr>
        <w:t>, above, from any court having jurisdiction over any Party or any of its assets. Without prejudice to such interim remedies that may be granted by a court, the arbitral tribunal shall have full authority to grant interim remedies, to order a Party to request that a court modify or vacate any temporary or preliminary relief issued by such court, and to award damages for the failure of any Party to respect the arbitral tribunal’s orders to that effect.</w:t>
      </w:r>
    </w:p>
    <w:p>
      <w:pPr>
        <w:spacing w:after="0" w:line="119" w:lineRule="exact"/>
        <w:rPr>
          <w:rFonts w:ascii="Arial" w:cs="Arial" w:eastAsia="Arial" w:hAnsi="Arial"/>
          <w:sz w:val="15"/>
          <w:szCs w:val="15"/>
          <w:color w:val="auto"/>
        </w:rPr>
      </w:pPr>
    </w:p>
    <w:p>
      <w:pPr>
        <w:jc w:val="both"/>
        <w:ind w:left="120" w:firstLine="990"/>
        <w:spacing w:after="0" w:line="233" w:lineRule="auto"/>
        <w:tabs>
          <w:tab w:leader="none" w:pos="147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Parties consent and submit to the non-exclusive jurisdiction of any federal court located in the State of New York or, where such court does not have juris- diction, any New York state court, in either case located in New York County, New York (“</w:t>
      </w:r>
      <w:r>
        <w:rPr>
          <w:rFonts w:ascii="Arial" w:cs="Arial" w:eastAsia="Arial" w:hAnsi="Arial"/>
          <w:sz w:val="16"/>
          <w:szCs w:val="16"/>
          <w:u w:val="single" w:color="auto"/>
          <w:color w:val="auto"/>
        </w:rPr>
        <w:t>New York Court</w:t>
      </w:r>
      <w:r>
        <w:rPr>
          <w:rFonts w:ascii="Arial" w:cs="Arial" w:eastAsia="Arial" w:hAnsi="Arial"/>
          <w:sz w:val="16"/>
          <w:szCs w:val="16"/>
          <w:color w:val="auto"/>
        </w:rPr>
        <w:t>”) for the enforcement of any arbitral award rendered hereunder, to compel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80"/>
          </w:cols>
          <w:pgMar w:left="300" w:top="1097" w:right="319" w:bottom="1440" w:gutter="0" w:footer="0" w:header="0"/>
        </w:sectPr>
      </w:pPr>
    </w:p>
    <w:bookmarkStart w:id="224" w:name="page225"/>
    <w:bookmarkEnd w:id="224"/>
    <w:p>
      <w:pPr>
        <w:jc w:val="both"/>
        <w:spacing w:after="0" w:line="233" w:lineRule="auto"/>
        <w:rPr>
          <w:sz w:val="20"/>
          <w:szCs w:val="20"/>
          <w:color w:val="auto"/>
        </w:rPr>
      </w:pPr>
      <w:r>
        <w:rPr>
          <w:rFonts w:ascii="Arial" w:cs="Arial" w:eastAsia="Arial" w:hAnsi="Arial"/>
          <w:sz w:val="16"/>
          <w:szCs w:val="16"/>
          <w:color w:val="auto"/>
        </w:rPr>
        <w:t xml:space="preserve">arbitration or for interim relief. In any such action: each Party irrevocably waives, to the fullest extent it may effectively do so, any objection, including any objection to the laying of venue or based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any right of objection to jurisdiction on account of its place of incorporation or domicile, which it may now or hereafter have to the bringing of any such action or proceeding in any New York Court.</w:t>
      </w:r>
    </w:p>
    <w:p>
      <w:pPr>
        <w:spacing w:after="0" w:line="121" w:lineRule="exact"/>
        <w:rPr>
          <w:sz w:val="20"/>
          <w:szCs w:val="20"/>
          <w:color w:val="auto"/>
        </w:rPr>
      </w:pPr>
    </w:p>
    <w:p>
      <w:pPr>
        <w:ind w:left="1360" w:hanging="370"/>
        <w:spacing w:after="0"/>
        <w:tabs>
          <w:tab w:leader="none" w:pos="13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Each Party will bear its own attorneys’ fees and costs incurred in connection with the resolution of any Dispute in accordance with this </w:t>
      </w:r>
      <w:r>
        <w:rPr>
          <w:rFonts w:ascii="Arial" w:cs="Arial" w:eastAsia="Arial" w:hAnsi="Arial"/>
          <w:sz w:val="15"/>
          <w:szCs w:val="15"/>
          <w:u w:val="single" w:color="auto"/>
          <w:color w:val="auto"/>
        </w:rPr>
        <w:t>Article VIII</w:t>
      </w:r>
      <w:r>
        <w:rPr>
          <w:rFonts w:ascii="Arial" w:cs="Arial" w:eastAsia="Arial" w:hAnsi="Arial"/>
          <w:sz w:val="15"/>
          <w:szCs w:val="15"/>
          <w:color w:val="auto"/>
        </w:rPr>
        <w:t>.</w:t>
      </w: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IX</w:t>
      </w:r>
    </w:p>
    <w:p>
      <w:pPr>
        <w:spacing w:after="0" w:line="144"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TERMINATION</w:t>
      </w:r>
    </w:p>
    <w:p>
      <w:pPr>
        <w:spacing w:after="0" w:line="148" w:lineRule="exact"/>
        <w:rPr>
          <w:sz w:val="20"/>
          <w:szCs w:val="20"/>
          <w:color w:val="auto"/>
        </w:rPr>
      </w:pPr>
    </w:p>
    <w:p>
      <w:pPr>
        <w:ind w:left="380"/>
        <w:spacing w:after="0"/>
        <w:tabs>
          <w:tab w:leader="none" w:pos="1520" w:val="left"/>
        </w:tabs>
        <w:rPr>
          <w:sz w:val="20"/>
          <w:szCs w:val="20"/>
          <w:color w:val="auto"/>
        </w:rPr>
      </w:pPr>
      <w:r>
        <w:rPr>
          <w:rFonts w:ascii="Arial" w:cs="Arial" w:eastAsia="Arial" w:hAnsi="Arial"/>
          <w:sz w:val="16"/>
          <w:szCs w:val="16"/>
          <w:color w:val="auto"/>
        </w:rPr>
        <w:t>Section 9.01</w:t>
      </w:r>
      <w:r>
        <w:rPr>
          <w:sz w:val="20"/>
          <w:szCs w:val="20"/>
          <w:color w:val="auto"/>
        </w:rPr>
        <w:tab/>
      </w:r>
      <w:r>
        <w:rPr>
          <w:rFonts w:ascii="Arial" w:cs="Arial" w:eastAsia="Arial" w:hAnsi="Arial"/>
          <w:sz w:val="15"/>
          <w:szCs w:val="15"/>
          <w:u w:val="single" w:color="auto"/>
          <w:color w:val="auto"/>
        </w:rPr>
        <w:t>Termination.</w:t>
      </w:r>
    </w:p>
    <w:p>
      <w:pPr>
        <w:spacing w:after="0" w:line="144" w:lineRule="exact"/>
        <w:rPr>
          <w:sz w:val="20"/>
          <w:szCs w:val="20"/>
          <w:color w:val="auto"/>
        </w:rPr>
      </w:pPr>
    </w:p>
    <w:p>
      <w:pPr>
        <w:jc w:val="both"/>
        <w:ind w:firstLine="990"/>
        <w:spacing w:after="0" w:line="228" w:lineRule="auto"/>
        <w:tabs>
          <w:tab w:leader="none" w:pos="135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term of this Agreement shall commence on the Effective Date and, shall continue until the earliest of: (i) the date on which the last of the Services as set forth on Schedule A and Schedule B under this Agreement is expired or terminated (each a “</w:t>
      </w:r>
      <w:r>
        <w:rPr>
          <w:rFonts w:ascii="Arial" w:cs="Arial" w:eastAsia="Arial" w:hAnsi="Arial"/>
          <w:sz w:val="16"/>
          <w:szCs w:val="16"/>
          <w:u w:val="single" w:color="auto"/>
          <w:color w:val="auto"/>
        </w:rPr>
        <w:t>Service Termination Date</w:t>
      </w:r>
      <w:r>
        <w:rPr>
          <w:rFonts w:ascii="Arial" w:cs="Arial" w:eastAsia="Arial" w:hAnsi="Arial"/>
          <w:sz w:val="16"/>
          <w:szCs w:val="16"/>
          <w:color w:val="auto"/>
        </w:rPr>
        <w:t>”), or (ii) the date on which this Agreement is otherwise terminated as permitted under this Agreement. This Agreement shall automatically terminate twelve (12) months after the Trigger Date. The date on which the Agreement terminates (in whole) pursuant to its terms is known as the “</w:t>
      </w:r>
      <w:r>
        <w:rPr>
          <w:rFonts w:ascii="Arial" w:cs="Arial" w:eastAsia="Arial" w:hAnsi="Arial"/>
          <w:sz w:val="16"/>
          <w:szCs w:val="16"/>
          <w:u w:val="single" w:color="auto"/>
          <w:color w:val="auto"/>
        </w:rPr>
        <w:t>Agreement Termination Date</w:t>
      </w:r>
      <w:r>
        <w:rPr>
          <w:rFonts w:ascii="Arial" w:cs="Arial" w:eastAsia="Arial" w:hAnsi="Arial"/>
          <w:sz w:val="16"/>
          <w:szCs w:val="16"/>
          <w:color w:val="auto"/>
        </w:rPr>
        <w:t>”.</w:t>
      </w:r>
    </w:p>
    <w:p>
      <w:pPr>
        <w:spacing w:after="0" w:line="121" w:lineRule="exact"/>
        <w:rPr>
          <w:rFonts w:ascii="Arial" w:cs="Arial" w:eastAsia="Arial" w:hAnsi="Arial"/>
          <w:sz w:val="16"/>
          <w:szCs w:val="16"/>
          <w:color w:val="auto"/>
        </w:rPr>
      </w:pPr>
    </w:p>
    <w:p>
      <w:pPr>
        <w:jc w:val="both"/>
        <w:ind w:firstLine="990"/>
        <w:spacing w:after="0" w:line="233" w:lineRule="auto"/>
        <w:tabs>
          <w:tab w:leader="none" w:pos="135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event a Recipient expects to require the receipt of a Service after the scheduled discontinuation of such Service in accordance with the terms of this Agreement, the Recipient shall provide written notice (an “</w:t>
      </w:r>
      <w:r>
        <w:rPr>
          <w:rFonts w:ascii="Arial" w:cs="Arial" w:eastAsia="Arial" w:hAnsi="Arial"/>
          <w:sz w:val="16"/>
          <w:szCs w:val="16"/>
          <w:u w:val="single" w:color="auto"/>
          <w:color w:val="auto"/>
        </w:rPr>
        <w:t>Extension Notice</w:t>
      </w:r>
      <w:r>
        <w:rPr>
          <w:rFonts w:ascii="Arial" w:cs="Arial" w:eastAsia="Arial" w:hAnsi="Arial"/>
          <w:sz w:val="16"/>
          <w:szCs w:val="16"/>
          <w:color w:val="auto"/>
        </w:rPr>
        <w:t>”) to the Provider not less than 30 days prior to the scheduled discontinuation of such Service.</w:t>
      </w:r>
    </w:p>
    <w:p>
      <w:pPr>
        <w:spacing w:after="0" w:line="120" w:lineRule="exact"/>
        <w:rPr>
          <w:rFonts w:ascii="Arial" w:cs="Arial" w:eastAsia="Arial" w:hAnsi="Arial"/>
          <w:sz w:val="16"/>
          <w:szCs w:val="16"/>
          <w:color w:val="auto"/>
        </w:rPr>
      </w:pPr>
    </w:p>
    <w:p>
      <w:pPr>
        <w:jc w:val="both"/>
        <w:ind w:firstLine="990"/>
        <w:spacing w:after="0"/>
        <w:tabs>
          <w:tab w:leader="none" w:pos="1351"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In the event a Recipient delivers an Extension Notice to a Provider in accordance with </w:t>
      </w:r>
      <w:r>
        <w:rPr>
          <w:rFonts w:ascii="Arial" w:cs="Arial" w:eastAsia="Arial" w:hAnsi="Arial"/>
          <w:sz w:val="15"/>
          <w:szCs w:val="15"/>
          <w:u w:val="single" w:color="auto"/>
          <w:color w:val="auto"/>
        </w:rPr>
        <w:t>Section 9.01(b)</w:t>
      </w:r>
      <w:r>
        <w:rPr>
          <w:rFonts w:ascii="Arial" w:cs="Arial" w:eastAsia="Arial" w:hAnsi="Arial"/>
          <w:sz w:val="15"/>
          <w:szCs w:val="15"/>
          <w:color w:val="auto"/>
        </w:rPr>
        <w:t>: for any Extension Notice served by a Recipient for a first extension the provision of the relevant Service(s) may be extended for a time period up to 3 months (or such other time as mutually agreed upon by the Parties); for any Extension Notice served by a Recipient for second extension, the provision of the relevant Service(s) may only be extended for such time period mutually agreed upon by the Parties; or where the serving of the Extension Notice was required by any delay which arises by the fault of Provider, the provision of the relevant Service(s) shall be extended by such period as may reasonably be required to compensate for such delay; in each case, such period, an “</w:t>
      </w:r>
      <w:r>
        <w:rPr>
          <w:rFonts w:ascii="Arial" w:cs="Arial" w:eastAsia="Arial" w:hAnsi="Arial"/>
          <w:sz w:val="15"/>
          <w:szCs w:val="15"/>
          <w:u w:val="single" w:color="auto"/>
          <w:color w:val="auto"/>
        </w:rPr>
        <w:t>Extension Period</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990"/>
        <w:spacing w:after="0" w:line="233" w:lineRule="auto"/>
        <w:tabs>
          <w:tab w:leader="none" w:pos="135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During an Extension Period, the Standard of Services for each Service shall be the same as were in effect prior to the termination of such Service and the Services Charge for each Service shall be the same as were in effect prior to the termination of each such Service plus any additional costs (e.g. consents, license or other approvals) that are associated with Provider’s continued provision of each such Service during an Extension Period.</w:t>
      </w:r>
    </w:p>
    <w:p>
      <w:pPr>
        <w:spacing w:after="0" w:line="120" w:lineRule="exact"/>
        <w:rPr>
          <w:rFonts w:ascii="Arial" w:cs="Arial" w:eastAsia="Arial" w:hAnsi="Arial"/>
          <w:sz w:val="16"/>
          <w:szCs w:val="16"/>
          <w:color w:val="auto"/>
        </w:rPr>
      </w:pPr>
    </w:p>
    <w:p>
      <w:pPr>
        <w:ind w:left="1360" w:hanging="370"/>
        <w:spacing w:after="0"/>
        <w:tabs>
          <w:tab w:leader="none" w:pos="1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 addition to and not in limitation of the rights and obligations set forth in </w:t>
      </w:r>
      <w:r>
        <w:rPr>
          <w:rFonts w:ascii="Arial" w:cs="Arial" w:eastAsia="Arial" w:hAnsi="Arial"/>
          <w:sz w:val="16"/>
          <w:szCs w:val="16"/>
          <w:u w:val="single" w:color="auto"/>
          <w:color w:val="auto"/>
        </w:rPr>
        <w:t>Section 10.03</w:t>
      </w:r>
      <w:r>
        <w:rPr>
          <w:rFonts w:ascii="Arial" w:cs="Arial" w:eastAsia="Arial" w:hAnsi="Arial"/>
          <w:sz w:val="16"/>
          <w:szCs w:val="16"/>
          <w:color w:val="auto"/>
        </w:rPr>
        <w:t>, upon the request of the Recipient of a Service,</w:t>
      </w:r>
    </w:p>
    <w:p>
      <w:pPr>
        <w:spacing w:after="0" w:line="144" w:lineRule="exact"/>
        <w:rPr>
          <w:rFonts w:ascii="Arial" w:cs="Arial" w:eastAsia="Arial" w:hAnsi="Arial"/>
          <w:sz w:val="16"/>
          <w:szCs w:val="16"/>
          <w:color w:val="auto"/>
        </w:rPr>
      </w:pPr>
    </w:p>
    <w:p>
      <w:pPr>
        <w:jc w:val="both"/>
        <w:ind w:left="380" w:firstLine="979"/>
        <w:spacing w:after="0" w:line="233" w:lineRule="auto"/>
        <w:tabs>
          <w:tab w:leader="none" w:pos="184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Provider of such Service will, during the term of this Agreement during which such Provider is providing such Service to the Recipient, cooperate with the Recipient and use its good faith, commercially reasonable efforts to assist the transition of such Service to the Recipient (or Affiliate of the Recipient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60"/>
          </w:cols>
          <w:pgMar w:left="420" w:top="1098" w:right="319" w:bottom="1440" w:gutter="0" w:footer="0" w:header="0"/>
        </w:sectPr>
      </w:pPr>
    </w:p>
    <w:bookmarkStart w:id="225" w:name="page226"/>
    <w:bookmarkEnd w:id="225"/>
    <w:p>
      <w:pPr>
        <w:ind w:left="500"/>
        <w:spacing w:after="0" w:line="245" w:lineRule="auto"/>
        <w:rPr>
          <w:sz w:val="20"/>
          <w:szCs w:val="20"/>
          <w:color w:val="auto"/>
        </w:rPr>
      </w:pPr>
      <w:r>
        <w:rPr>
          <w:rFonts w:ascii="Arial" w:cs="Arial" w:eastAsia="Arial" w:hAnsi="Arial"/>
          <w:sz w:val="16"/>
          <w:szCs w:val="16"/>
          <w:color w:val="auto"/>
        </w:rPr>
        <w:t>third-party vendor designated by the Recipient) by the applicable Service Termination Date for such Service or such other termination date as is agreed to by the Parties, and</w:t>
      </w:r>
    </w:p>
    <w:p>
      <w:pPr>
        <w:spacing w:after="0" w:line="117" w:lineRule="exact"/>
        <w:rPr>
          <w:sz w:val="20"/>
          <w:szCs w:val="20"/>
          <w:color w:val="auto"/>
        </w:rPr>
      </w:pPr>
    </w:p>
    <w:p>
      <w:pPr>
        <w:jc w:val="both"/>
        <w:ind w:left="500" w:firstLine="979"/>
        <w:spacing w:after="0" w:line="233" w:lineRule="auto"/>
        <w:tabs>
          <w:tab w:leader="none" w:pos="197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Provider of such Service will, for a reasonable period of time after the applicable Service Termination Date of any such Service cooperate with the Recipient and use its good faith, commercially reasonable efforts to assist the transition of such Service to the Recipient (or Affiliate of the Recipient or such third-party vendor designated by the Recipient) as soon as reasonably practicable.</w:t>
      </w:r>
    </w:p>
    <w:p>
      <w:pPr>
        <w:spacing w:after="0" w:line="120" w:lineRule="exact"/>
        <w:rPr>
          <w:rFonts w:ascii="Arial" w:cs="Arial" w:eastAsia="Arial" w:hAnsi="Arial"/>
          <w:sz w:val="16"/>
          <w:szCs w:val="16"/>
          <w:color w:val="auto"/>
        </w:rPr>
      </w:pPr>
    </w:p>
    <w:p>
      <w:pPr>
        <w:jc w:val="both"/>
        <w:ind w:left="120" w:firstLine="990"/>
        <w:spacing w:after="0" w:line="228" w:lineRule="auto"/>
        <w:tabs>
          <w:tab w:leader="none" w:pos="147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By agreement of the Parties, in connection with the transfer or assumption of any Service, the resources associated with providing such Service may be transferred and/or assigned permanently from Provider to the Recipient. Upon assumption of the Service by the Recipient, the Service shall be treated as terminated under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and the Provider will have no further obligation to provide such Service, and the Recipient will have no obligation to pay any future Service Charges or Other Costs relating to any such Service.</w:t>
      </w:r>
    </w:p>
    <w:p>
      <w:pPr>
        <w:spacing w:after="0" w:line="121" w:lineRule="exact"/>
        <w:rPr>
          <w:rFonts w:ascii="Arial" w:cs="Arial" w:eastAsia="Arial" w:hAnsi="Arial"/>
          <w:sz w:val="16"/>
          <w:szCs w:val="16"/>
          <w:color w:val="auto"/>
        </w:rPr>
      </w:pPr>
    </w:p>
    <w:p>
      <w:pPr>
        <w:jc w:val="both"/>
        <w:ind w:left="120" w:firstLine="990"/>
        <w:spacing w:after="0" w:line="232" w:lineRule="auto"/>
        <w:tabs>
          <w:tab w:leader="none" w:pos="147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Either party may terminate its obligation to provide or its obligation to receive any of the Services (each, a “</w:t>
      </w:r>
      <w:r>
        <w:rPr>
          <w:rFonts w:ascii="Arial" w:cs="Arial" w:eastAsia="Arial" w:hAnsi="Arial"/>
          <w:sz w:val="15"/>
          <w:szCs w:val="15"/>
          <w:u w:val="single" w:color="auto"/>
          <w:color w:val="auto"/>
        </w:rPr>
        <w:t>Terminated Service</w:t>
      </w:r>
      <w:r>
        <w:rPr>
          <w:rFonts w:ascii="Arial" w:cs="Arial" w:eastAsia="Arial" w:hAnsi="Arial"/>
          <w:sz w:val="15"/>
          <w:szCs w:val="15"/>
          <w:color w:val="auto"/>
        </w:rPr>
        <w:t>”) for its convenience and in its absolute discretion by providing, unless otherwise mutually agreed to by the Parties in writing, the other party not less than one hundred eighty (180) days prior written notice setting forth the termination date for the Terminated Service, provided however, that the Company may not terminate for convenience any Service that would dismiss or effect a change in the current independent registered public accounting firm of the Company or engage an independent registered public accounting firm for the Company that is different from the independent registered public accounting firm for Genworth. Notwithstanding either party’s right to terminate any Service as described above, for so long as Genworth continues using its current general ledger solution and system, Company will continue to use that same solution and system, and for so long as Genworth continues using its current business performance management software solution, Company will continue to use that same software solution for financial planning and analysis purposes. If the Terminated Service is being provided under a Supplier Agreement that cannot be terminated (or cannot be modified or amended to eliminate the expense associated with the delivery of such Service to the Recipient) within the one hundred eighty (180) days of such notice, then the party seeking to terminate the Terminated Service must either (x) provide such additional written notice to coincide with the date such Supplier Agreement terminates (or can be modified or amended to eliminate the expenses associated with the delivery of such Terminated Service to the Recipient), up to an additional one hundred eighty (180) days (for a total not to exceed 360 days prior written notice) or (y) elect to terminate the Terminated Service upon the expiration of the first one hundred eighty (180) day notice period and pay all expenses and any costs incurred by the non-terminating party in connection with any such Supplier Agreements associated with the termination of the Terminated Service upon the expiration of such first one hundred eighty (180) day notice period.</w:t>
      </w:r>
    </w:p>
    <w:p>
      <w:pPr>
        <w:spacing w:after="0" w:line="127" w:lineRule="exact"/>
        <w:rPr>
          <w:rFonts w:ascii="Arial" w:cs="Arial" w:eastAsia="Arial" w:hAnsi="Arial"/>
          <w:sz w:val="15"/>
          <w:szCs w:val="15"/>
          <w:color w:val="auto"/>
        </w:rPr>
      </w:pPr>
    </w:p>
    <w:p>
      <w:pPr>
        <w:jc w:val="both"/>
        <w:ind w:left="120" w:firstLine="990"/>
        <w:spacing w:after="0" w:line="315" w:lineRule="auto"/>
        <w:tabs>
          <w:tab w:leader="none" w:pos="147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Any notices under this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shall (in addition to the notice requirements in </w:t>
      </w:r>
      <w:r>
        <w:rPr>
          <w:rFonts w:ascii="Arial" w:cs="Arial" w:eastAsia="Arial" w:hAnsi="Arial"/>
          <w:sz w:val="14"/>
          <w:szCs w:val="14"/>
          <w:u w:val="single" w:color="auto"/>
          <w:color w:val="auto"/>
        </w:rPr>
        <w:t>Section 10.05</w:t>
      </w:r>
      <w:r>
        <w:rPr>
          <w:rFonts w:ascii="Arial" w:cs="Arial" w:eastAsia="Arial" w:hAnsi="Arial"/>
          <w:sz w:val="14"/>
          <w:szCs w:val="14"/>
          <w:color w:val="auto"/>
        </w:rPr>
        <w:t>) also be provided in writing if to Genworth, to Genworth’s Chief Executive Officer and its Genworth Shared Services Leader, and if to Company, to Company’s Chief Executive Officer and its Shared Services Leader.</w:t>
      </w:r>
    </w:p>
    <w:p>
      <w:pPr>
        <w:spacing w:after="0" w:line="70"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9.02</w:t>
      </w:r>
      <w:r>
        <w:rPr>
          <w:sz w:val="20"/>
          <w:szCs w:val="20"/>
          <w:color w:val="auto"/>
        </w:rPr>
        <w:tab/>
      </w:r>
      <w:r>
        <w:rPr>
          <w:rFonts w:ascii="Arial" w:cs="Arial" w:eastAsia="Arial" w:hAnsi="Arial"/>
          <w:sz w:val="15"/>
          <w:szCs w:val="15"/>
          <w:u w:val="single" w:color="auto"/>
          <w:color w:val="auto"/>
        </w:rPr>
        <w:t>Effect of Termination.</w:t>
      </w:r>
    </w:p>
    <w:p>
      <w:pPr>
        <w:spacing w:after="0" w:line="144" w:lineRule="exact"/>
        <w:rPr>
          <w:sz w:val="20"/>
          <w:szCs w:val="20"/>
          <w:color w:val="auto"/>
        </w:rPr>
      </w:pPr>
    </w:p>
    <w:p>
      <w:pPr>
        <w:ind w:firstLine="492"/>
        <w:spacing w:after="0" w:line="245" w:lineRule="auto"/>
        <w:rPr>
          <w:sz w:val="20"/>
          <w:szCs w:val="20"/>
          <w:color w:val="auto"/>
        </w:rPr>
      </w:pPr>
      <w:r>
        <w:rPr>
          <w:rFonts w:ascii="Arial" w:cs="Arial" w:eastAsia="Arial" w:hAnsi="Arial"/>
          <w:sz w:val="16"/>
          <w:szCs w:val="16"/>
          <w:color w:val="auto"/>
        </w:rPr>
        <w:t xml:space="preserve">Except with respect to any Service that is continuing to be provided pursuant to </w:t>
      </w:r>
      <w:r>
        <w:rPr>
          <w:rFonts w:ascii="Arial" w:cs="Arial" w:eastAsia="Arial" w:hAnsi="Arial"/>
          <w:sz w:val="16"/>
          <w:szCs w:val="16"/>
          <w:u w:val="single" w:color="auto"/>
          <w:color w:val="auto"/>
        </w:rPr>
        <w:t>Section 9.01(c)</w:t>
      </w:r>
      <w:r>
        <w:rPr>
          <w:rFonts w:ascii="Arial" w:cs="Arial" w:eastAsia="Arial" w:hAnsi="Arial"/>
          <w:sz w:val="16"/>
          <w:szCs w:val="16"/>
          <w:color w:val="auto"/>
        </w:rPr>
        <w:t>, after the termination of such Service or pursuant to a requirement to provide transition services, upon termination or expiration of any Service pursuant to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80"/>
          </w:cols>
          <w:pgMar w:left="300" w:top="1097" w:right="319" w:bottom="1440" w:gutter="0" w:footer="0" w:header="0"/>
        </w:sectPr>
      </w:pPr>
    </w:p>
    <w:bookmarkStart w:id="226" w:name="page227"/>
    <w:bookmarkEnd w:id="226"/>
    <w:p>
      <w:pPr>
        <w:jc w:val="both"/>
        <w:spacing w:after="0" w:line="232" w:lineRule="auto"/>
        <w:rPr>
          <w:sz w:val="20"/>
          <w:szCs w:val="20"/>
          <w:color w:val="auto"/>
        </w:rPr>
      </w:pPr>
      <w:r>
        <w:rPr>
          <w:rFonts w:ascii="Arial" w:cs="Arial" w:eastAsia="Arial" w:hAnsi="Arial"/>
          <w:sz w:val="15"/>
          <w:szCs w:val="15"/>
          <w:color w:val="auto"/>
        </w:rPr>
        <w:t>relevant Provider will have no further obligation to provide the terminated Service, and the relevant Recipient will have no obligation to pay any future Service Charges or Other Costs relating to any such Service (other than for or in respect of Services or Undertakings provided in accordance with the terms of this Agreement and received by such Recipient prior to such termination). Upon termination of this Agreement in respect of all Services in accordance with its terms, no Provider will have any further obligation to provide any Service or Undertaking, and no Recipient will have any obligation to pay any Service Charges or Other Costs relating to any Service or Undertaking or make any other payments under this Agreement (other than for or in respect of Services or Undertakings received by such Recipient prior to such termination or rights that may accrue in respect of this Agreement). Any property, Intellectual Property, Confidential Information, or information or other assets owned or controlled by a party will remain owned or controlled by that party and if any of the foregoing are in the possession of the other party at termination, such asset(s) shall be returned by such other party upon request following termination of the Service or this Agreement, as applicable. Further, all funds and invested assets of a Recipient may only be held for the benefit of such Recipient and will remain the exclusive property of and subject to the control of such Recipient at all times. Notwithstanding the foregoing, a party may retain copies of the foregoing information to the extent such copies are electronically stored pursuant to the Receiving Party’s ordinary course backup procedures (including, without limitation, those regarding electronic communication), and otherwise as may be required by applicable Law, so long as such copies are kept confidential as required under this Agreement and are used for no other purpose. For the avoidance of doubt, this Agreement shall not infringe on Genworth’s right to use the Company’s Confidential Information: (i) in order to provide the Services; (ii) for other internal purposes such as (but not limited to) financial reporting, performance monitoring, and auditing.</w:t>
      </w:r>
    </w:p>
    <w:p>
      <w:pPr>
        <w:spacing w:after="0" w:line="12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9.03</w:t>
      </w:r>
      <w:r>
        <w:rPr>
          <w:sz w:val="20"/>
          <w:szCs w:val="20"/>
          <w:color w:val="auto"/>
        </w:rPr>
        <w:tab/>
      </w:r>
      <w:r>
        <w:rPr>
          <w:rFonts w:ascii="Arial" w:cs="Arial" w:eastAsia="Arial" w:hAnsi="Arial"/>
          <w:sz w:val="15"/>
          <w:szCs w:val="15"/>
          <w:u w:val="single" w:color="auto"/>
          <w:color w:val="auto"/>
        </w:rPr>
        <w:t>Survival.</w:t>
      </w:r>
    </w:p>
    <w:p>
      <w:pPr>
        <w:spacing w:after="0" w:line="144" w:lineRule="exact"/>
        <w:rPr>
          <w:sz w:val="20"/>
          <w:szCs w:val="20"/>
          <w:color w:val="auto"/>
        </w:rPr>
      </w:pPr>
    </w:p>
    <w:p>
      <w:pPr>
        <w:jc w:val="both"/>
        <w:ind w:firstLine="492"/>
        <w:spacing w:after="0" w:line="233" w:lineRule="auto"/>
        <w:rPr>
          <w:sz w:val="20"/>
          <w:szCs w:val="20"/>
          <w:color w:val="auto"/>
        </w:rPr>
      </w:pP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(Costs and Disbursements; Payments),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(Indemnification Regarding Services; Limitation on Liability),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(Dispute Resolution), </w:t>
      </w:r>
      <w:r>
        <w:rPr>
          <w:rFonts w:ascii="Arial" w:cs="Arial" w:eastAsia="Arial" w:hAnsi="Arial"/>
          <w:sz w:val="16"/>
          <w:szCs w:val="16"/>
          <w:u w:val="single" w:color="auto"/>
          <w:color w:val="auto"/>
        </w:rPr>
        <w:t>Section 9.01(c)(ii)</w:t>
      </w:r>
      <w:r>
        <w:rPr>
          <w:rFonts w:ascii="Arial" w:cs="Arial" w:eastAsia="Arial" w:hAnsi="Arial"/>
          <w:sz w:val="16"/>
          <w:szCs w:val="16"/>
          <w:color w:val="auto"/>
        </w:rPr>
        <w:t xml:space="preserve"> (Termination),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(Effect of Termination),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(Survival),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(General Provisions) shall survive the expiration or other termination of this Agreement and remain in full force and effect.</w:t>
      </w:r>
    </w:p>
    <w:p>
      <w:pPr>
        <w:spacing w:after="0" w:line="121"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6"/>
          <w:szCs w:val="16"/>
          <w:color w:val="auto"/>
        </w:rPr>
        <w:t>Section 9.04</w:t>
      </w:r>
      <w:r>
        <w:rPr>
          <w:sz w:val="20"/>
          <w:szCs w:val="20"/>
          <w:color w:val="auto"/>
        </w:rPr>
        <w:tab/>
      </w:r>
      <w:r>
        <w:rPr>
          <w:rFonts w:ascii="Arial" w:cs="Arial" w:eastAsia="Arial" w:hAnsi="Arial"/>
          <w:sz w:val="15"/>
          <w:szCs w:val="15"/>
          <w:u w:val="single" w:color="auto"/>
          <w:color w:val="auto"/>
        </w:rPr>
        <w:t>Business Continuity; Force Majeure</w:t>
      </w:r>
      <w:r>
        <w:rPr>
          <w:rFonts w:ascii="Arial" w:cs="Arial" w:eastAsia="Arial" w:hAnsi="Arial"/>
          <w:sz w:val="15"/>
          <w:szCs w:val="15"/>
          <w:color w:val="auto"/>
        </w:rPr>
        <w:t>.</w:t>
      </w:r>
    </w:p>
    <w:p>
      <w:pPr>
        <w:spacing w:after="0" w:line="144" w:lineRule="exact"/>
        <w:rPr>
          <w:sz w:val="20"/>
          <w:szCs w:val="20"/>
          <w:color w:val="auto"/>
        </w:rPr>
      </w:pPr>
    </w:p>
    <w:p>
      <w:pPr>
        <w:jc w:val="both"/>
        <w:ind w:left="120" w:firstLine="990"/>
        <w:spacing w:after="0" w:line="237" w:lineRule="auto"/>
        <w:tabs>
          <w:tab w:leader="none" w:pos="1471"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Prior to the Trigger Date, each of Genworth and the Company shall maintain and comply with Genworth’s then current disaster recovery and business continuity plans and procedures. On or after the Trigger Date, the Company shall maintain and comply with a reasonable disaster recovery and business continuity plan designed to help ensure that it can continue to provide the Services in accordance with this Agreement in the event of a disaster or other significant event that might otherwise impact its operations. Upon the written request of a Recipient, a Provider shall (i) disclose to the Recipient the Provider’s disaster recovery, crisis management and business continuity plans and procedures applicable to a Service and (ii) permit the Recipient to participate in testing of such disaster recovery, crisis management and business continuity plans and procedures, in each case so that the Recipient may assess such plans and procedures and develop or modify its own such plans and procedures in connection with the Service as Recipient reasonably deems necessary.</w:t>
      </w:r>
    </w:p>
    <w:p>
      <w:pPr>
        <w:spacing w:after="0" w:line="120" w:lineRule="exact"/>
        <w:rPr>
          <w:rFonts w:ascii="Arial" w:cs="Arial" w:eastAsia="Arial" w:hAnsi="Arial"/>
          <w:sz w:val="15"/>
          <w:szCs w:val="15"/>
          <w:color w:val="auto"/>
        </w:rPr>
      </w:pPr>
    </w:p>
    <w:p>
      <w:pPr>
        <w:jc w:val="both"/>
        <w:ind w:left="120" w:firstLine="990"/>
        <w:spacing w:after="0" w:line="228" w:lineRule="auto"/>
        <w:tabs>
          <w:tab w:leader="none" w:pos="147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No party hereto (or any Person acting on its behalf) shall have any liability or responsibility for failure to fulfill any obligation (other than a payment obligation) under this Agreement so long as and to the extent to which the fulfillment of such obligation is prevented, frustrated, hindered or delayed as a consequence of circumstances of Force Majeure;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party shall have complied fully with the procedures described in its disaster recovery, crisis management, and business continuity plan. A party claiming the benefit of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80"/>
          </w:cols>
          <w:pgMar w:left="300" w:top="1097" w:right="319" w:bottom="1440" w:gutter="0" w:footer="0" w:header="0"/>
        </w:sectPr>
      </w:pPr>
    </w:p>
    <w:bookmarkStart w:id="227" w:name="page228"/>
    <w:bookmarkEnd w:id="227"/>
    <w:p>
      <w:pPr>
        <w:ind w:left="120"/>
        <w:spacing w:after="0"/>
        <w:rPr>
          <w:sz w:val="20"/>
          <w:szCs w:val="20"/>
          <w:color w:val="auto"/>
        </w:rPr>
      </w:pPr>
      <w:r>
        <w:rPr>
          <w:rFonts w:ascii="Arial" w:cs="Arial" w:eastAsia="Arial" w:hAnsi="Arial"/>
          <w:sz w:val="14"/>
          <w:szCs w:val="14"/>
          <w:color w:val="auto"/>
        </w:rPr>
        <w:t>shall, as soon as reasonably practicable after the occurrence of any such event: (i) notify the other party of the nature and extent of any such Force Majeure condition and</w:t>
      </w:r>
    </w:p>
    <w:p>
      <w:pPr>
        <w:spacing w:after="0" w:line="17" w:lineRule="exact"/>
        <w:rPr>
          <w:sz w:val="20"/>
          <w:szCs w:val="20"/>
          <w:color w:val="auto"/>
        </w:rPr>
      </w:pPr>
    </w:p>
    <w:p>
      <w:pPr>
        <w:ind w:left="360" w:hanging="235"/>
        <w:spacing w:after="0"/>
        <w:tabs>
          <w:tab w:leader="none" w:pos="3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use commercially reasonable efforts to remove any such causes and resume performance under this Agreement as soon as reasonably practical.</w:t>
      </w:r>
    </w:p>
    <w:p>
      <w:pPr>
        <w:spacing w:after="0" w:line="126"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6"/>
          <w:szCs w:val="16"/>
          <w:b w:val="1"/>
          <w:bCs w:val="1"/>
          <w:color w:val="auto"/>
        </w:rPr>
        <w:t>Article X</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PROVISIONS</w:t>
      </w:r>
    </w:p>
    <w:p>
      <w:pPr>
        <w:spacing w:after="0" w:line="148"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10.01</w:t>
      </w:r>
      <w:r>
        <w:rPr>
          <w:sz w:val="20"/>
          <w:szCs w:val="20"/>
          <w:color w:val="auto"/>
        </w:rPr>
        <w:tab/>
      </w:r>
      <w:r>
        <w:rPr>
          <w:rFonts w:ascii="Arial" w:cs="Arial" w:eastAsia="Arial" w:hAnsi="Arial"/>
          <w:sz w:val="14"/>
          <w:szCs w:val="14"/>
          <w:u w:val="single" w:color="auto"/>
          <w:color w:val="auto"/>
        </w:rPr>
        <w:t>Independent Contractors.</w:t>
      </w:r>
    </w:p>
    <w:p>
      <w:pPr>
        <w:spacing w:after="0" w:line="144" w:lineRule="exact"/>
        <w:rPr>
          <w:sz w:val="20"/>
          <w:szCs w:val="20"/>
          <w:color w:val="auto"/>
        </w:rPr>
      </w:pPr>
    </w:p>
    <w:p>
      <w:pPr>
        <w:jc w:val="both"/>
        <w:ind w:firstLine="492"/>
        <w:spacing w:after="0" w:line="244" w:lineRule="auto"/>
        <w:rPr>
          <w:sz w:val="20"/>
          <w:szCs w:val="20"/>
          <w:color w:val="auto"/>
        </w:rPr>
      </w:pPr>
      <w:r>
        <w:rPr>
          <w:rFonts w:ascii="Arial" w:cs="Arial" w:eastAsia="Arial" w:hAnsi="Arial"/>
          <w:sz w:val="15"/>
          <w:szCs w:val="15"/>
          <w:color w:val="auto"/>
        </w:rPr>
        <w:t>In providing Services hereunder, the Provider shall act solely as an independent contractor and nothing in this Agreement shall constitute or be construed to be or create a partnership, joint venture, employment or principal/agent relationship between the Provider and any of its Affiliates or their respective employees, agents or subcontractors, on the one hand, and the Recipient and any of its Affiliates or their respective employees, agents or subcontractors, on the other. All Persons employed by the Provider or an Affiliate in the performance of its obligations under this Agreement shall be the sole responsibility of the Provider.</w:t>
      </w:r>
    </w:p>
    <w:p>
      <w:pPr>
        <w:spacing w:after="0" w:line="119"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10.02</w:t>
      </w:r>
      <w:r>
        <w:rPr>
          <w:sz w:val="20"/>
          <w:szCs w:val="20"/>
          <w:color w:val="auto"/>
        </w:rPr>
        <w:tab/>
      </w:r>
      <w:r>
        <w:rPr>
          <w:rFonts w:ascii="Arial" w:cs="Arial" w:eastAsia="Arial" w:hAnsi="Arial"/>
          <w:sz w:val="14"/>
          <w:szCs w:val="14"/>
          <w:u w:val="single" w:color="auto"/>
          <w:color w:val="auto"/>
        </w:rPr>
        <w:t>Subcontractors.</w:t>
      </w:r>
    </w:p>
    <w:p>
      <w:pPr>
        <w:spacing w:after="0" w:line="144" w:lineRule="exact"/>
        <w:rPr>
          <w:sz w:val="20"/>
          <w:szCs w:val="20"/>
          <w:color w:val="auto"/>
        </w:rPr>
      </w:pPr>
    </w:p>
    <w:p>
      <w:pPr>
        <w:jc w:val="both"/>
        <w:ind w:firstLine="492"/>
        <w:spacing w:after="0" w:line="223" w:lineRule="auto"/>
        <w:rPr>
          <w:sz w:val="20"/>
          <w:szCs w:val="20"/>
          <w:color w:val="auto"/>
        </w:rPr>
      </w:pPr>
      <w:r>
        <w:rPr>
          <w:rFonts w:ascii="Arial" w:cs="Arial" w:eastAsia="Arial" w:hAnsi="Arial"/>
          <w:sz w:val="16"/>
          <w:szCs w:val="16"/>
          <w:color w:val="auto"/>
        </w:rPr>
        <w:t xml:space="preserve">Any Provider or Affiliate may hire or engage one or more subcontractors to perform any or all of its obligations under this Agreement upon notice to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Provider shall cause such subcontractors to comply with the terms of this Agreement, as applicable, including the Data Security and Cybersecurity Program and Provider shall in all cases remain responsible for all its obligations under this Agreement, including with respect to the scope of the Services, the Standard for Services and the content of the Services provided to the Recipient or an Affiliate of the Recipient. Under no circumstances shall any Recipient or Affiliate be responsible for making any payments directly to any subcontractor engaged by a Provider. The right to audit set out in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shall apply in respect of any subcontractors engaged to perform any obligations under this Agreement.</w:t>
      </w:r>
    </w:p>
    <w:p>
      <w:pPr>
        <w:spacing w:after="0" w:line="123"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10.03</w:t>
      </w:r>
      <w:r>
        <w:rPr>
          <w:sz w:val="20"/>
          <w:szCs w:val="20"/>
          <w:color w:val="auto"/>
        </w:rPr>
        <w:tab/>
      </w:r>
      <w:r>
        <w:rPr>
          <w:rFonts w:ascii="Arial" w:cs="Arial" w:eastAsia="Arial" w:hAnsi="Arial"/>
          <w:sz w:val="15"/>
          <w:szCs w:val="15"/>
          <w:u w:val="single" w:color="auto"/>
          <w:color w:val="auto"/>
        </w:rPr>
        <w:t>Cooperation; Additional Services.</w:t>
      </w:r>
    </w:p>
    <w:p>
      <w:pPr>
        <w:spacing w:after="0" w:line="144" w:lineRule="exact"/>
        <w:rPr>
          <w:sz w:val="20"/>
          <w:szCs w:val="20"/>
          <w:color w:val="auto"/>
        </w:rPr>
      </w:pPr>
    </w:p>
    <w:p>
      <w:pPr>
        <w:jc w:val="both"/>
        <w:ind w:left="120" w:firstLine="990"/>
        <w:spacing w:after="0" w:line="228" w:lineRule="auto"/>
        <w:tabs>
          <w:tab w:leader="none" w:pos="147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addition to the actions specifically provided for elsewhere in this Agreement, each of Genworth and the Company will cooperate with each other and use (and will cause their respective subsidiaries and Affiliates to use) reasonable best efforts, prior to, on and after the Effective Date, to take, or to cause to be taken, all actions, and to do, or to cause to be done, all things reasonably necessary on its part under applicable Law or contractual obligations to consummate and make effective the transactions contemplated by this Agreement.</w:t>
      </w:r>
    </w:p>
    <w:p>
      <w:pPr>
        <w:spacing w:after="0" w:line="121" w:lineRule="exact"/>
        <w:rPr>
          <w:rFonts w:ascii="Arial" w:cs="Arial" w:eastAsia="Arial" w:hAnsi="Arial"/>
          <w:sz w:val="16"/>
          <w:szCs w:val="16"/>
          <w:color w:val="auto"/>
        </w:rPr>
      </w:pPr>
    </w:p>
    <w:p>
      <w:pPr>
        <w:jc w:val="both"/>
        <w:ind w:left="120" w:firstLine="990"/>
        <w:spacing w:after="0" w:line="238" w:lineRule="auto"/>
        <w:tabs>
          <w:tab w:leader="none" w:pos="147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Without limiting the foregoing, prior to, on and after the Effective Date, each of Genworth and the Company shall cooperate with the other party, and without any further consideration, but at the expense of the requesting party from and after the Effective Date,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or other instrument (including any Consents or governmental approvals), and to take all such other actions as such party may reasonably be requested to take by any other party hereto from time to time, consistent with the terms of this Agreement, in order to effectuate the provisions and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300" w:top="1097" w:right="319" w:bottom="1440" w:gutter="0" w:footer="0" w:header="0"/>
        </w:sectPr>
      </w:pPr>
    </w:p>
    <w:bookmarkStart w:id="228" w:name="page229"/>
    <w:bookmarkEnd w:id="228"/>
    <w:p>
      <w:pPr>
        <w:jc w:val="both"/>
        <w:ind w:left="120" w:firstLine="990"/>
        <w:spacing w:after="0" w:line="233" w:lineRule="auto"/>
        <w:tabs>
          <w:tab w:leader="none" w:pos="147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or prior to the Effective Date, Genworth and the Company in their respective capacities as direct and indirect stockholders of their respective Subsidiaries, shall each ratify any actions that are reasonably necessary or desirable to be taken by Genworth, the Company or any other subsidiary of Genworth or the Company, as the case may be, to effectuate the transactions contemplated by this Agreement.</w:t>
      </w:r>
    </w:p>
    <w:p>
      <w:pPr>
        <w:spacing w:after="0" w:line="120" w:lineRule="exact"/>
        <w:rPr>
          <w:rFonts w:ascii="Arial" w:cs="Arial" w:eastAsia="Arial" w:hAnsi="Arial"/>
          <w:sz w:val="16"/>
          <w:szCs w:val="16"/>
          <w:color w:val="auto"/>
        </w:rPr>
      </w:pPr>
    </w:p>
    <w:p>
      <w:pPr>
        <w:jc w:val="both"/>
        <w:ind w:left="120" w:firstLine="990"/>
        <w:spacing w:after="0" w:line="220" w:lineRule="auto"/>
        <w:tabs>
          <w:tab w:leader="none" w:pos="147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Parties hereto have made a good faith effort to identify each Service and to complete the content of the Schedules accurately. However, the Parties acknowledge and agree that, notwithstanding those efforts, either party hereto may, from time to time during the term of this Agreement, identify a need for additional or other transition services to be provided by or on behalf of the Company or Genworth. The Parties hereto agree to negotiate in good faith to provide such additional or other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services are of a type generally provided by the relevant Provider at such time and are not services referred to in </w:t>
      </w:r>
      <w:r>
        <w:rPr>
          <w:rFonts w:ascii="Arial" w:cs="Arial" w:eastAsia="Arial" w:hAnsi="Arial"/>
          <w:sz w:val="16"/>
          <w:szCs w:val="16"/>
          <w:u w:val="single" w:color="auto"/>
          <w:color w:val="auto"/>
        </w:rPr>
        <w:t>Section 2.01(j)</w:t>
      </w:r>
      <w:r>
        <w:rPr>
          <w:rFonts w:ascii="Arial" w:cs="Arial" w:eastAsia="Arial" w:hAnsi="Arial"/>
          <w:sz w:val="16"/>
          <w:szCs w:val="16"/>
          <w:color w:val="auto"/>
        </w:rPr>
        <w:t xml:space="preserve">) and the applicable Service Charges, payment procedures, and other rights and obligations (including in relation to any Intellectual Property) with respect thereto. To the extent practicable, such additional or other services shall be provided on terms substantially similar to those applicable to Services of similar types and otherwise on terms (including the Standard of Services) consistent with those contained in this Agreement. The Parties hereto further acknowledge and agree that any modification of this Agreement or the Schedules to reflect such additional or other services may be made orally or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oral modification is later reduced to writing.</w:t>
      </w:r>
    </w:p>
    <w:p>
      <w:pPr>
        <w:spacing w:after="0" w:line="123"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10.04</w:t>
      </w:r>
      <w:r>
        <w:rPr>
          <w:sz w:val="20"/>
          <w:szCs w:val="20"/>
          <w:color w:val="auto"/>
        </w:rPr>
        <w:tab/>
      </w:r>
      <w:r>
        <w:rPr>
          <w:rFonts w:ascii="Arial" w:cs="Arial" w:eastAsia="Arial" w:hAnsi="Arial"/>
          <w:sz w:val="14"/>
          <w:szCs w:val="14"/>
          <w:u w:val="single" w:color="auto"/>
          <w:color w:val="auto"/>
        </w:rPr>
        <w:t>Books and Records.</w:t>
      </w:r>
    </w:p>
    <w:p>
      <w:pPr>
        <w:spacing w:after="0" w:line="144" w:lineRule="exact"/>
        <w:rPr>
          <w:sz w:val="20"/>
          <w:szCs w:val="20"/>
          <w:color w:val="auto"/>
        </w:rPr>
      </w:pPr>
    </w:p>
    <w:p>
      <w:pPr>
        <w:jc w:val="both"/>
        <w:ind w:firstLine="492"/>
        <w:spacing w:after="0" w:line="238" w:lineRule="auto"/>
        <w:rPr>
          <w:sz w:val="20"/>
          <w:szCs w:val="20"/>
          <w:color w:val="auto"/>
        </w:rPr>
      </w:pPr>
      <w:r>
        <w:rPr>
          <w:rFonts w:ascii="Arial" w:cs="Arial" w:eastAsia="Arial" w:hAnsi="Arial"/>
          <w:sz w:val="15"/>
          <w:szCs w:val="15"/>
          <w:color w:val="auto"/>
        </w:rPr>
        <w:t xml:space="preserve">All Recipient Data shall be the exclusive property of such Recipient or its Affiliate. The Recipient, at its sole cost and expense, shall have the right to inspect, and make copies of, any such Recipient Data during regular business hours upon reasonable advance notice to the Provider. At the sole cost and expense of the Recipient, upon termination of the provision of any Service, the relevant Recipient Data relating to such terminated Service shall be delivered by the Provider to the Recipient in its existing format or another format, if such other format is mutually agreed upon by the Provider and the Recipient, to the address of the Recipient set forth in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or any other mutually agreed upon location;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Provider shall be entitled to retain one copy of all such Recipient Data relating to such terminated Service for archival purposes and for purposes of responding to any dispute that may arise with respect thereto or to comply with applicable Law.</w:t>
      </w:r>
    </w:p>
    <w:p>
      <w:pPr>
        <w:spacing w:after="0" w:line="123"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10.05</w:t>
      </w:r>
      <w:r>
        <w:rPr>
          <w:sz w:val="20"/>
          <w:szCs w:val="20"/>
          <w:color w:val="auto"/>
        </w:rPr>
        <w:tab/>
      </w:r>
      <w:r>
        <w:rPr>
          <w:rFonts w:ascii="Arial" w:cs="Arial" w:eastAsia="Arial" w:hAnsi="Arial"/>
          <w:sz w:val="14"/>
          <w:szCs w:val="14"/>
          <w:u w:val="single" w:color="auto"/>
          <w:color w:val="auto"/>
        </w:rPr>
        <w:t>Notices.</w:t>
      </w:r>
    </w:p>
    <w:p>
      <w:pPr>
        <w:spacing w:after="0" w:line="144" w:lineRule="exact"/>
        <w:rPr>
          <w:sz w:val="20"/>
          <w:szCs w:val="20"/>
          <w:color w:val="auto"/>
        </w:rPr>
      </w:pPr>
    </w:p>
    <w:p>
      <w:pPr>
        <w:jc w:val="both"/>
        <w:ind w:firstLine="492"/>
        <w:spacing w:after="0" w:line="228" w:lineRule="auto"/>
        <w:rPr>
          <w:sz w:val="20"/>
          <w:szCs w:val="20"/>
          <w:color w:val="auto"/>
        </w:rPr>
      </w:pPr>
      <w:r>
        <w:rPr>
          <w:rFonts w:ascii="Arial" w:cs="Arial" w:eastAsia="Arial" w:hAnsi="Arial"/>
          <w:sz w:val="16"/>
          <w:szCs w:val="16"/>
          <w:color w:val="auto"/>
        </w:rPr>
        <w:t xml:space="preserve">All notices, requests, claims, demands and other communications under this Agreement shall be in writing and shall be given or made (and shall be deemed to have been duly given or made upon receipt) by delivery in person, by overnight courier service, by email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6"/>
          <w:szCs w:val="16"/>
          <w:u w:val="single" w:color="auto"/>
          <w:color w:val="auto"/>
        </w:rPr>
        <w:t>Section 10.05</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80"/>
          </w:cols>
          <w:pgMar w:left="300" w:top="1098" w:right="319" w:bottom="1440" w:gutter="0" w:footer="0" w:header="0"/>
        </w:sectPr>
      </w:pPr>
    </w:p>
    <w:bookmarkStart w:id="229" w:name="page230"/>
    <w:bookmarkEnd w:id="229"/>
    <w:p>
      <w:pPr>
        <w:ind w:left="1480"/>
        <w:spacing w:after="0"/>
        <w:rPr>
          <w:sz w:val="20"/>
          <w:szCs w:val="20"/>
          <w:color w:val="auto"/>
        </w:rPr>
      </w:pPr>
      <w:r>
        <w:rPr>
          <w:rFonts w:ascii="Arial" w:cs="Arial" w:eastAsia="Arial" w:hAnsi="Arial"/>
          <w:sz w:val="16"/>
          <w:szCs w:val="16"/>
          <w:color w:val="auto"/>
        </w:rPr>
        <w:t>if to Genworth, to:</w:t>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Genworth Financial, Inc.</w:t>
      </w:r>
    </w:p>
    <w:p>
      <w:pPr>
        <w:ind w:left="1480"/>
        <w:spacing w:after="0" w:line="214" w:lineRule="auto"/>
        <w:rPr>
          <w:sz w:val="20"/>
          <w:szCs w:val="20"/>
          <w:color w:val="auto"/>
        </w:rPr>
      </w:pPr>
      <w:r>
        <w:rPr>
          <w:rFonts w:ascii="Arial" w:cs="Arial" w:eastAsia="Arial" w:hAnsi="Arial"/>
          <w:sz w:val="16"/>
          <w:szCs w:val="16"/>
          <w:color w:val="auto"/>
        </w:rPr>
        <w:t>6620 West Broad Street</w:t>
      </w:r>
    </w:p>
    <w:p>
      <w:pPr>
        <w:ind w:left="1480"/>
        <w:spacing w:after="0" w:line="214" w:lineRule="auto"/>
        <w:rPr>
          <w:sz w:val="20"/>
          <w:szCs w:val="20"/>
          <w:color w:val="auto"/>
        </w:rPr>
      </w:pPr>
      <w:r>
        <w:rPr>
          <w:rFonts w:ascii="Arial" w:cs="Arial" w:eastAsia="Arial" w:hAnsi="Arial"/>
          <w:sz w:val="16"/>
          <w:szCs w:val="16"/>
          <w:color w:val="auto"/>
        </w:rPr>
        <w:t>Richmond, VA 23230</w:t>
      </w:r>
    </w:p>
    <w:p>
      <w:pPr>
        <w:ind w:left="1480"/>
        <w:spacing w:after="0" w:line="214" w:lineRule="auto"/>
        <w:rPr>
          <w:sz w:val="20"/>
          <w:szCs w:val="20"/>
          <w:color w:val="auto"/>
        </w:rPr>
      </w:pPr>
      <w:r>
        <w:rPr>
          <w:rFonts w:ascii="Arial" w:cs="Arial" w:eastAsia="Arial" w:hAnsi="Arial"/>
          <w:sz w:val="16"/>
          <w:szCs w:val="16"/>
          <w:color w:val="auto"/>
        </w:rPr>
        <w:t>Attention: General Counsel</w:t>
      </w:r>
    </w:p>
    <w:p>
      <w:pPr>
        <w:ind w:left="1480"/>
        <w:spacing w:after="0"/>
        <w:rPr>
          <w:sz w:val="20"/>
          <w:szCs w:val="20"/>
          <w:color w:val="auto"/>
        </w:rPr>
      </w:pPr>
      <w:r>
        <w:rPr>
          <w:rFonts w:ascii="Arial" w:cs="Arial" w:eastAsia="Arial" w:hAnsi="Arial"/>
          <w:sz w:val="16"/>
          <w:szCs w:val="16"/>
          <w:color w:val="auto"/>
        </w:rPr>
        <w:t>Phone: 804.662.2574</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Email: GNWGeneralCounsel@genworth.com</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if to the Company, to:</w:t>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Enact Holdings, Inc.</w:t>
      </w:r>
    </w:p>
    <w:p>
      <w:pPr>
        <w:ind w:left="1480"/>
        <w:spacing w:after="0" w:line="214" w:lineRule="auto"/>
        <w:rPr>
          <w:sz w:val="20"/>
          <w:szCs w:val="20"/>
          <w:color w:val="auto"/>
        </w:rPr>
      </w:pPr>
      <w:r>
        <w:rPr>
          <w:rFonts w:ascii="Arial" w:cs="Arial" w:eastAsia="Arial" w:hAnsi="Arial"/>
          <w:sz w:val="16"/>
          <w:szCs w:val="16"/>
          <w:color w:val="auto"/>
        </w:rPr>
        <w:t>8325 Six Forks Rd.</w:t>
      </w:r>
    </w:p>
    <w:p>
      <w:pPr>
        <w:ind w:left="1480"/>
        <w:spacing w:after="0" w:line="214" w:lineRule="auto"/>
        <w:rPr>
          <w:sz w:val="20"/>
          <w:szCs w:val="20"/>
          <w:color w:val="auto"/>
        </w:rPr>
      </w:pPr>
      <w:r>
        <w:rPr>
          <w:rFonts w:ascii="Arial" w:cs="Arial" w:eastAsia="Arial" w:hAnsi="Arial"/>
          <w:sz w:val="16"/>
          <w:szCs w:val="16"/>
          <w:color w:val="auto"/>
        </w:rPr>
        <w:t>Raleigh, NC 27615</w:t>
      </w:r>
    </w:p>
    <w:p>
      <w:pPr>
        <w:ind w:left="1480"/>
        <w:spacing w:after="0" w:line="214" w:lineRule="auto"/>
        <w:rPr>
          <w:sz w:val="20"/>
          <w:szCs w:val="20"/>
          <w:color w:val="auto"/>
        </w:rPr>
      </w:pPr>
      <w:r>
        <w:rPr>
          <w:rFonts w:ascii="Arial" w:cs="Arial" w:eastAsia="Arial" w:hAnsi="Arial"/>
          <w:sz w:val="16"/>
          <w:szCs w:val="16"/>
          <w:color w:val="auto"/>
        </w:rPr>
        <w:t>Attention: General Counsel</w:t>
      </w:r>
    </w:p>
    <w:p>
      <w:pPr>
        <w:ind w:left="1480"/>
        <w:spacing w:after="0"/>
        <w:rPr>
          <w:sz w:val="20"/>
          <w:szCs w:val="20"/>
          <w:color w:val="auto"/>
        </w:rPr>
      </w:pPr>
      <w:r>
        <w:rPr>
          <w:rFonts w:ascii="Arial" w:cs="Arial" w:eastAsia="Arial" w:hAnsi="Arial"/>
          <w:sz w:val="16"/>
          <w:szCs w:val="16"/>
          <w:color w:val="auto"/>
        </w:rPr>
        <w:t>Email: USMIGeneralCounsel@EnactMI.com</w:t>
      </w:r>
    </w:p>
    <w:p>
      <w:pPr>
        <w:spacing w:after="0" w:line="315"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10.06</w:t>
      </w:r>
      <w:r>
        <w:rPr>
          <w:sz w:val="20"/>
          <w:szCs w:val="20"/>
          <w:color w:val="auto"/>
        </w:rPr>
        <w:tab/>
      </w:r>
      <w:r>
        <w:rPr>
          <w:rFonts w:ascii="Arial" w:cs="Arial" w:eastAsia="Arial" w:hAnsi="Arial"/>
          <w:sz w:val="15"/>
          <w:szCs w:val="15"/>
          <w:u w:val="single" w:color="auto"/>
          <w:color w:val="auto"/>
        </w:rPr>
        <w:t>Regulatory Approval and Compliance.</w:t>
      </w:r>
    </w:p>
    <w:p>
      <w:pPr>
        <w:spacing w:after="0" w:line="144" w:lineRule="exact"/>
        <w:rPr>
          <w:sz w:val="20"/>
          <w:szCs w:val="20"/>
          <w:color w:val="auto"/>
        </w:rPr>
      </w:pPr>
    </w:p>
    <w:p>
      <w:pPr>
        <w:jc w:val="both"/>
        <w:ind w:firstLine="492"/>
        <w:spacing w:after="0" w:line="225" w:lineRule="auto"/>
        <w:rPr>
          <w:sz w:val="20"/>
          <w:szCs w:val="20"/>
          <w:color w:val="auto"/>
        </w:rPr>
      </w:pPr>
      <w:r>
        <w:rPr>
          <w:rFonts w:ascii="Arial" w:cs="Arial" w:eastAsia="Arial" w:hAnsi="Arial"/>
          <w:sz w:val="16"/>
          <w:szCs w:val="16"/>
          <w:color w:val="auto"/>
        </w:rPr>
        <w:t xml:space="preserve">Each of Genworth and the Company shall be responsible for its, and its Affiliates, own compliance with any and all applicable Laws relating to its performance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Genworth and the Company shall, subject to reimbursement of out-of-pocket expenses by the requesting party, cooperate and provide one another with all reasonably requested assistance (including the execution of documents and the provision of relevant information) required by the requesting party to ensure compliance with all applicable Laws in connection with any regulatory action, requirement, inquiry or examination related to this Agreement or the Services.</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10.07</w:t>
      </w:r>
      <w:r>
        <w:rPr>
          <w:sz w:val="20"/>
          <w:szCs w:val="20"/>
          <w:color w:val="auto"/>
        </w:rPr>
        <w:tab/>
      </w:r>
      <w:r>
        <w:rPr>
          <w:rFonts w:ascii="Arial" w:cs="Arial" w:eastAsia="Arial" w:hAnsi="Arial"/>
          <w:sz w:val="15"/>
          <w:szCs w:val="15"/>
          <w:u w:val="single" w:color="auto"/>
          <w:color w:val="auto"/>
        </w:rPr>
        <w:t>Severability.</w:t>
      </w:r>
    </w:p>
    <w:p>
      <w:pPr>
        <w:spacing w:after="0" w:line="144" w:lineRule="exact"/>
        <w:rPr>
          <w:sz w:val="20"/>
          <w:szCs w:val="20"/>
          <w:color w:val="auto"/>
        </w:rPr>
      </w:pPr>
    </w:p>
    <w:p>
      <w:pPr>
        <w:jc w:val="both"/>
        <w:ind w:firstLine="492"/>
        <w:spacing w:after="0" w:line="268" w:lineRule="auto"/>
        <w:rPr>
          <w:sz w:val="20"/>
          <w:szCs w:val="20"/>
          <w:color w:val="auto"/>
        </w:rPr>
      </w:pPr>
      <w:r>
        <w:rPr>
          <w:rFonts w:ascii="Arial" w:cs="Arial" w:eastAsia="Arial" w:hAnsi="Arial"/>
          <w:sz w:val="14"/>
          <w:szCs w:val="14"/>
          <w:color w:val="auto"/>
        </w:rPr>
        <w:t>If any term or other provision of this Agreement is invalid, illegal or incapable of being enforced under any Law or as a matter of public policy, all other conditions and provisions of this Agreement shall nevertheless remain in full force and effect. Upon such determination that any term or other provision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10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10.08</w:t>
      </w:r>
      <w:r>
        <w:rPr>
          <w:sz w:val="20"/>
          <w:szCs w:val="20"/>
          <w:color w:val="auto"/>
        </w:rPr>
        <w:tab/>
      </w:r>
      <w:r>
        <w:rPr>
          <w:rFonts w:ascii="Arial" w:cs="Arial" w:eastAsia="Arial" w:hAnsi="Arial"/>
          <w:sz w:val="15"/>
          <w:szCs w:val="15"/>
          <w:u w:val="single" w:color="auto"/>
          <w:color w:val="auto"/>
        </w:rPr>
        <w:t>Entire Agreement.</w:t>
      </w:r>
    </w:p>
    <w:p>
      <w:pPr>
        <w:spacing w:after="0" w:line="144" w:lineRule="exact"/>
        <w:rPr>
          <w:sz w:val="20"/>
          <w:szCs w:val="20"/>
          <w:color w:val="auto"/>
        </w:rPr>
      </w:pPr>
    </w:p>
    <w:p>
      <w:pPr>
        <w:jc w:val="both"/>
        <w:ind w:firstLine="492"/>
        <w:spacing w:after="0"/>
        <w:rPr>
          <w:sz w:val="20"/>
          <w:szCs w:val="20"/>
          <w:color w:val="auto"/>
        </w:rPr>
      </w:pPr>
      <w:r>
        <w:rPr>
          <w:rFonts w:ascii="Arial" w:cs="Arial" w:eastAsia="Arial" w:hAnsi="Arial"/>
          <w:sz w:val="15"/>
          <w:szCs w:val="15"/>
          <w:color w:val="auto"/>
        </w:rPr>
        <w:t>Except as otherwise expressly provided in this Agreement, this Agreement (including the Schedules hereto) constitutes the entire agreement of the Parties hereto with respect to the subject matter of this Agreement and supersedes all prior agreements and undertakings, both written and oral, between or on behalf of the Parties hereto with respect to the subject matter of this Agreement. Nothing in this Agreement shall be deemed to be an amendment to any Benefit Arrangement sponsored or maintained by any member of the Genworth Group or to prohibit any member of the Genworth Group from adopting, amending, modifying or terminating any Benefit Arrangement sponsored or maintained by any member of the Genworth Group at any time within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80"/>
          </w:cols>
          <w:pgMar w:left="300" w:top="1098" w:right="319" w:bottom="1440" w:gutter="0" w:footer="0" w:header="0"/>
        </w:sectPr>
      </w:pPr>
    </w:p>
    <w:bookmarkStart w:id="230" w:name="page231"/>
    <w:bookmarkEnd w:id="230"/>
    <w:p>
      <w:pPr>
        <w:ind w:left="380"/>
        <w:spacing w:after="0"/>
        <w:tabs>
          <w:tab w:leader="none" w:pos="1520" w:val="left"/>
        </w:tabs>
        <w:rPr>
          <w:sz w:val="20"/>
          <w:szCs w:val="20"/>
          <w:color w:val="auto"/>
        </w:rPr>
      </w:pPr>
      <w:r>
        <w:rPr>
          <w:rFonts w:ascii="Arial" w:cs="Arial" w:eastAsia="Arial" w:hAnsi="Arial"/>
          <w:sz w:val="16"/>
          <w:szCs w:val="16"/>
          <w:color w:val="auto"/>
        </w:rPr>
        <w:t>Section 10.09</w:t>
      </w:r>
      <w:r>
        <w:rPr>
          <w:sz w:val="20"/>
          <w:szCs w:val="20"/>
          <w:color w:val="auto"/>
        </w:rPr>
        <w:tab/>
      </w:r>
      <w:r>
        <w:rPr>
          <w:rFonts w:ascii="Arial" w:cs="Arial" w:eastAsia="Arial" w:hAnsi="Arial"/>
          <w:sz w:val="15"/>
          <w:szCs w:val="15"/>
          <w:u w:val="single" w:color="auto"/>
          <w:color w:val="auto"/>
        </w:rPr>
        <w:t>Assignment; No Third-Party Beneficiaries.</w:t>
      </w:r>
    </w:p>
    <w:p>
      <w:pPr>
        <w:spacing w:after="0" w:line="144" w:lineRule="exact"/>
        <w:rPr>
          <w:sz w:val="20"/>
          <w:szCs w:val="20"/>
          <w:color w:val="auto"/>
        </w:rPr>
      </w:pPr>
    </w:p>
    <w:p>
      <w:pPr>
        <w:ind w:left="1360" w:hanging="370"/>
        <w:spacing w:after="0"/>
        <w:tabs>
          <w:tab w:leader="none" w:pos="13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u w:val="single" w:color="auto"/>
          <w:color w:val="auto"/>
        </w:rPr>
        <w:t>Section 10.09</w:t>
      </w:r>
      <w:r>
        <w:rPr>
          <w:rFonts w:ascii="Arial" w:cs="Arial" w:eastAsia="Arial" w:hAnsi="Arial"/>
          <w:sz w:val="16"/>
          <w:szCs w:val="16"/>
          <w:color w:val="auto"/>
        </w:rPr>
        <w:t>, the assignment of this Agreement shall require mutual agreement of the Parties.</w:t>
      </w:r>
    </w:p>
    <w:p>
      <w:pPr>
        <w:spacing w:after="0" w:line="144" w:lineRule="exact"/>
        <w:rPr>
          <w:rFonts w:ascii="Arial" w:cs="Arial" w:eastAsia="Arial" w:hAnsi="Arial"/>
          <w:sz w:val="16"/>
          <w:szCs w:val="16"/>
          <w:color w:val="auto"/>
        </w:rPr>
      </w:pPr>
    </w:p>
    <w:p>
      <w:pPr>
        <w:jc w:val="both"/>
        <w:ind w:firstLine="990"/>
        <w:spacing w:after="0" w:line="232" w:lineRule="auto"/>
        <w:tabs>
          <w:tab w:leader="none" w:pos="135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Parties hereto agree as follows: (i) in the event the Company sells substantially all of the Company Business (the “</w:t>
      </w:r>
      <w:r>
        <w:rPr>
          <w:rFonts w:ascii="Arial" w:cs="Arial" w:eastAsia="Arial" w:hAnsi="Arial"/>
          <w:sz w:val="15"/>
          <w:szCs w:val="15"/>
          <w:u w:val="single" w:color="auto"/>
          <w:color w:val="auto"/>
        </w:rPr>
        <w:t>Company Divested Unit</w:t>
      </w:r>
      <w:r>
        <w:rPr>
          <w:rFonts w:ascii="Arial" w:cs="Arial" w:eastAsia="Arial" w:hAnsi="Arial"/>
          <w:sz w:val="15"/>
          <w:szCs w:val="15"/>
          <w:color w:val="auto"/>
        </w:rPr>
        <w:t>”) to a third party, Genworth shall remain obligated to continue to provide the Genworth Services to such Company Divested Unit (but not otherwise to such third party acquirer) to the extent it was providing such Genworth Services immediately prior to such divestiture, pursuant to the terms of this Agreement, unless otherwise agreed upon by the Parties hereto, (ii) in the event Genworth sells substantially all of any Genworth Business (a “</w:t>
      </w:r>
      <w:r>
        <w:rPr>
          <w:rFonts w:ascii="Arial" w:cs="Arial" w:eastAsia="Arial" w:hAnsi="Arial"/>
          <w:sz w:val="15"/>
          <w:szCs w:val="15"/>
          <w:u w:val="single" w:color="auto"/>
          <w:color w:val="auto"/>
        </w:rPr>
        <w:t>Genworth Divested Unit</w:t>
      </w:r>
      <w:r>
        <w:rPr>
          <w:rFonts w:ascii="Arial" w:cs="Arial" w:eastAsia="Arial" w:hAnsi="Arial"/>
          <w:sz w:val="15"/>
          <w:szCs w:val="15"/>
          <w:color w:val="auto"/>
        </w:rPr>
        <w:t>”) to a third party, the Company shall remain obligated to continue to provide Company Services to such Genworth Divested Unit (but not otherwise to such third party acquirer) to the extent it was providing such Company Services immediately prior to such divestiture, pursuant to the terms of this Agreement, unless otherwise agreed upon by the Parties hereto, (iii) in the event the Company acquires a business or portion thereof by merger, stock purchase, asset purchase, reinsurance or other means (a “</w:t>
      </w:r>
      <w:r>
        <w:rPr>
          <w:rFonts w:ascii="Arial" w:cs="Arial" w:eastAsia="Arial" w:hAnsi="Arial"/>
          <w:sz w:val="15"/>
          <w:szCs w:val="15"/>
          <w:u w:val="single" w:color="auto"/>
          <w:color w:val="auto"/>
        </w:rPr>
        <w:t>Company Acquired Unit</w:t>
      </w:r>
      <w:r>
        <w:rPr>
          <w:rFonts w:ascii="Arial" w:cs="Arial" w:eastAsia="Arial" w:hAnsi="Arial"/>
          <w:sz w:val="15"/>
          <w:szCs w:val="15"/>
          <w:color w:val="auto"/>
        </w:rPr>
        <w:t xml:space="preserve">”), then Genworth shall be obligated to provide the Genworth Services to such Company Acquired Unit, to the extent applicable, pursuant to the terms of this Agreement, unless otherwise agreed upon by the Parties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event that the acquisition of a Company Acquired Unit results in a change in the volume or quantity of any Genworth Service which thereby causes a material change in Genworth’s cost to provide such Genworth Service, then the requirements of </w:t>
      </w:r>
      <w:r>
        <w:rPr>
          <w:rFonts w:ascii="Arial" w:cs="Arial" w:eastAsia="Arial" w:hAnsi="Arial"/>
          <w:sz w:val="15"/>
          <w:szCs w:val="15"/>
          <w:u w:val="single" w:color="auto"/>
          <w:color w:val="auto"/>
        </w:rPr>
        <w:t>Section 5.01(c)</w:t>
      </w:r>
      <w:r>
        <w:rPr>
          <w:rFonts w:ascii="Arial" w:cs="Arial" w:eastAsia="Arial" w:hAnsi="Arial"/>
          <w:sz w:val="15"/>
          <w:szCs w:val="15"/>
          <w:color w:val="auto"/>
        </w:rPr>
        <w:t xml:space="preserve"> shall apply, (iv) in the event Genworth acquires a business that engages in a business of the type engaged in by the Genworth Businesses (a “</w:t>
      </w:r>
      <w:r>
        <w:rPr>
          <w:rFonts w:ascii="Arial" w:cs="Arial" w:eastAsia="Arial" w:hAnsi="Arial"/>
          <w:sz w:val="15"/>
          <w:szCs w:val="15"/>
          <w:u w:val="single" w:color="auto"/>
          <w:color w:val="auto"/>
        </w:rPr>
        <w:t>Genworth Acquired Unit</w:t>
      </w:r>
      <w:r>
        <w:rPr>
          <w:rFonts w:ascii="Arial" w:cs="Arial" w:eastAsia="Arial" w:hAnsi="Arial"/>
          <w:sz w:val="15"/>
          <w:szCs w:val="15"/>
          <w:color w:val="auto"/>
        </w:rPr>
        <w:t xml:space="preserve">”) then the Company shall be obligated to provide Company Services to such Genworth Acquired Unit, to the extent applicable, pursuant to the terms of this Agreement, unless otherwise agreed upon by the Parties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acquisition of a Genworth Acquired Unit results in a change in the volume or quantity of any Company Service which thereby causes a material change in the Company’s cost to provide such Company Service, then the Parties shall negotiate in good faith and use their commercially reasonable efforts to agree upon a mutually agreeable adjustment to the relevant Service Charges to reflect such material changes.</w:t>
      </w:r>
    </w:p>
    <w:p>
      <w:pPr>
        <w:spacing w:after="0" w:line="122" w:lineRule="exact"/>
        <w:rPr>
          <w:rFonts w:ascii="Arial" w:cs="Arial" w:eastAsia="Arial" w:hAnsi="Arial"/>
          <w:sz w:val="15"/>
          <w:szCs w:val="15"/>
          <w:color w:val="auto"/>
        </w:rPr>
      </w:pPr>
    </w:p>
    <w:p>
      <w:pPr>
        <w:jc w:val="both"/>
        <w:ind w:firstLine="990"/>
        <w:spacing w:after="0" w:line="234" w:lineRule="auto"/>
        <w:tabs>
          <w:tab w:leader="none" w:pos="1351"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xml:space="preserve">Notwithstanding the requirements of </w:t>
      </w:r>
      <w:r>
        <w:rPr>
          <w:rFonts w:ascii="Arial" w:cs="Arial" w:eastAsia="Arial" w:hAnsi="Arial"/>
          <w:sz w:val="15"/>
          <w:szCs w:val="15"/>
          <w:u w:val="single" w:color="auto"/>
          <w:color w:val="auto"/>
        </w:rPr>
        <w:t>Section 10.09(a)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10.09(b)</w:t>
      </w:r>
      <w:r>
        <w:rPr>
          <w:rFonts w:ascii="Arial" w:cs="Arial" w:eastAsia="Arial" w:hAnsi="Arial"/>
          <w:sz w:val="15"/>
          <w:szCs w:val="15"/>
          <w:color w:val="auto"/>
        </w:rPr>
        <w:t xml:space="preserve"> above, Genworth’s obligation to provide Services to a Company Divested Unit and the Company’s obligation (except under </w:t>
      </w:r>
      <w:r>
        <w:rPr>
          <w:rFonts w:ascii="Arial" w:cs="Arial" w:eastAsia="Arial" w:hAnsi="Arial"/>
          <w:sz w:val="15"/>
          <w:szCs w:val="15"/>
          <w:u w:val="single" w:color="auto"/>
          <w:color w:val="auto"/>
        </w:rPr>
        <w:t>Section 2.01(b)</w:t>
      </w:r>
      <w:r>
        <w:rPr>
          <w:rFonts w:ascii="Arial" w:cs="Arial" w:eastAsia="Arial" w:hAnsi="Arial"/>
          <w:sz w:val="15"/>
          <w:szCs w:val="15"/>
          <w:color w:val="auto"/>
        </w:rPr>
        <w:t xml:space="preserve"> with respect to the Divested Units) to provide Services to a Genworth Divested Unit shall be subject to (i) at the sole discretion of the Provider of the Services, the implementation of new Service Charges (solely with respect to Services to be provided to such Divested Unit) proposed by the Provider of such Services that are consistent with applicable market rates for such Services; (ii) the seller of such Divested Unit or the third party purchaser of such Divested Unit agreeing (directly with the Provider) to pay, or cause to be paid, any incremental fees or expenses incurred by the Provider in connection with establishing or transitioning the provision of such Services to the third party; (iii) obtaining any consents that are necessary to enable the Provider to provide the Services to the third party; </w:t>
      </w:r>
      <w:r>
        <w:rPr>
          <w:rFonts w:ascii="Arial" w:cs="Arial" w:eastAsia="Arial" w:hAnsi="Arial"/>
          <w:sz w:val="15"/>
          <w:szCs w:val="15"/>
          <w:u w:val="single" w:color="auto"/>
          <w:color w:val="auto"/>
        </w:rPr>
        <w:t>provided</w:t>
      </w:r>
      <w:r>
        <w:rPr>
          <w:rFonts w:ascii="Arial" w:cs="Arial" w:eastAsia="Arial" w:hAnsi="Arial"/>
          <w:sz w:val="15"/>
          <w:szCs w:val="15"/>
          <w:color w:val="auto"/>
        </w:rPr>
        <w:t>, that Genworth and the Company shall each use commercially reasonable efforts to obtain any such consents; (iv) the third party purchaser of such Divested Unit agreeing (directly with the Provider) to any and all reasonable security measures implemented by the Provider in providing the Services as deemed necessary by the Provider to protect its Information Systems; and (v) the third party purchaser of such Divested Unit agreeing in writing (with each of Genworth and the Company) to be bound by all applicable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60"/>
          </w:cols>
          <w:pgMar w:left="420" w:top="1097" w:right="319" w:bottom="1440" w:gutter="0" w:footer="0" w:header="0"/>
        </w:sectPr>
      </w:pPr>
    </w:p>
    <w:bookmarkStart w:id="231" w:name="page232"/>
    <w:bookmarkEnd w:id="231"/>
    <w:p>
      <w:pPr>
        <w:jc w:val="both"/>
        <w:ind w:firstLine="990"/>
        <w:spacing w:after="0" w:line="233" w:lineRule="auto"/>
        <w:tabs>
          <w:tab w:leader="none" w:pos="135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This Agreement is for the sole benefit of the Parties to this Agreement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21" w:lineRule="exact"/>
        <w:rPr>
          <w:sz w:val="20"/>
          <w:szCs w:val="20"/>
          <w:color w:val="auto"/>
        </w:rPr>
      </w:pPr>
    </w:p>
    <w:p>
      <w:pPr>
        <w:ind w:left="380"/>
        <w:spacing w:after="0"/>
        <w:tabs>
          <w:tab w:leader="none" w:pos="1520" w:val="left"/>
        </w:tabs>
        <w:rPr>
          <w:sz w:val="20"/>
          <w:szCs w:val="20"/>
          <w:color w:val="auto"/>
        </w:rPr>
      </w:pPr>
      <w:r>
        <w:rPr>
          <w:rFonts w:ascii="Arial" w:cs="Arial" w:eastAsia="Arial" w:hAnsi="Arial"/>
          <w:sz w:val="16"/>
          <w:szCs w:val="16"/>
          <w:color w:val="auto"/>
        </w:rPr>
        <w:t>Section 10.10</w:t>
      </w:r>
      <w:r>
        <w:rPr>
          <w:sz w:val="20"/>
          <w:szCs w:val="20"/>
          <w:color w:val="auto"/>
        </w:rPr>
        <w:tab/>
      </w:r>
      <w:r>
        <w:rPr>
          <w:rFonts w:ascii="Arial" w:cs="Arial" w:eastAsia="Arial" w:hAnsi="Arial"/>
          <w:sz w:val="15"/>
          <w:szCs w:val="15"/>
          <w:u w:val="single" w:color="auto"/>
          <w:color w:val="auto"/>
        </w:rPr>
        <w:t>Confidentiality.</w:t>
      </w:r>
    </w:p>
    <w:p>
      <w:pPr>
        <w:spacing w:after="0" w:line="144" w:lineRule="exact"/>
        <w:rPr>
          <w:sz w:val="20"/>
          <w:szCs w:val="20"/>
          <w:color w:val="auto"/>
        </w:rPr>
      </w:pPr>
    </w:p>
    <w:p>
      <w:pPr>
        <w:jc w:val="both"/>
        <w:ind w:firstLine="990"/>
        <w:spacing w:after="0" w:line="244" w:lineRule="auto"/>
        <w:tabs>
          <w:tab w:leader="none" w:pos="1351"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10.10(c)</w:t>
      </w:r>
      <w:r>
        <w:rPr>
          <w:rFonts w:ascii="Arial" w:cs="Arial" w:eastAsia="Arial" w:hAnsi="Arial"/>
          <w:sz w:val="15"/>
          <w:szCs w:val="15"/>
          <w:color w:val="auto"/>
        </w:rPr>
        <w:t>, each party must take the same steps it uses to protect its own Confidential Information, but in no event less than commercially reasonable steps, to ensure that its officers, employees, agents, consultants, contractors and sub-contractors do not, without the other party’s permission or where necessary to perform the Services: (a) use any of the other party’s Confidential Information; (b) disclose any of the other party’s Confidential Information to anyone else; or (c) make copies of materials incorporating any of the other party’s Confidential Information.</w:t>
      </w:r>
    </w:p>
    <w:p>
      <w:pPr>
        <w:spacing w:after="0" w:line="119" w:lineRule="exact"/>
        <w:rPr>
          <w:rFonts w:ascii="Arial" w:cs="Arial" w:eastAsia="Arial" w:hAnsi="Arial"/>
          <w:sz w:val="15"/>
          <w:szCs w:val="15"/>
          <w:color w:val="auto"/>
        </w:rPr>
      </w:pPr>
    </w:p>
    <w:p>
      <w:pPr>
        <w:ind w:left="1360" w:hanging="370"/>
        <w:spacing w:after="0"/>
        <w:tabs>
          <w:tab w:leader="none" w:pos="1360" w:val="left"/>
        </w:tabs>
        <w:numPr>
          <w:ilvl w:val="0"/>
          <w:numId w:val="146"/>
        </w:numPr>
        <w:rPr>
          <w:rFonts w:ascii="Arial" w:cs="Arial" w:eastAsia="Arial" w:hAnsi="Arial"/>
          <w:sz w:val="14"/>
          <w:szCs w:val="14"/>
          <w:color w:val="auto"/>
        </w:rPr>
      </w:pPr>
      <w:r>
        <w:rPr>
          <w:rFonts w:ascii="Arial" w:cs="Arial" w:eastAsia="Arial" w:hAnsi="Arial"/>
          <w:sz w:val="14"/>
          <w:szCs w:val="14"/>
          <w:u w:val="single" w:color="auto"/>
          <w:color w:val="auto"/>
        </w:rPr>
        <w:t>Terms of this document</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10.10(c)</w:t>
      </w:r>
      <w:r>
        <w:rPr>
          <w:rFonts w:ascii="Arial" w:cs="Arial" w:eastAsia="Arial" w:hAnsi="Arial"/>
          <w:sz w:val="14"/>
          <w:szCs w:val="14"/>
          <w:color w:val="auto"/>
        </w:rPr>
        <w:t>, neither party may, without the consent of the other party, disclose the terms of this document to</w:t>
      </w:r>
    </w:p>
    <w:p>
      <w:pPr>
        <w:spacing w:after="0" w:line="1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any other person.</w:t>
      </w:r>
    </w:p>
    <w:p>
      <w:pPr>
        <w:spacing w:after="0" w:line="130" w:lineRule="exact"/>
        <w:rPr>
          <w:rFonts w:ascii="Arial" w:cs="Arial" w:eastAsia="Arial" w:hAnsi="Arial"/>
          <w:sz w:val="14"/>
          <w:szCs w:val="14"/>
          <w:color w:val="auto"/>
        </w:rPr>
      </w:pPr>
    </w:p>
    <w:p>
      <w:pPr>
        <w:jc w:val="both"/>
        <w:ind w:firstLine="990"/>
        <w:spacing w:after="0" w:line="236" w:lineRule="auto"/>
        <w:tabs>
          <w:tab w:leader="none" w:pos="1351"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Exceptions</w:t>
      </w:r>
      <w:r>
        <w:rPr>
          <w:rFonts w:ascii="Arial" w:cs="Arial" w:eastAsia="Arial" w:hAnsi="Arial"/>
          <w:sz w:val="15"/>
          <w:szCs w:val="15"/>
          <w:color w:val="auto"/>
        </w:rPr>
        <w:t xml:space="preserve">. A party may disclose or use information, which it would otherwise be prevented from disclosing or using under </w:t>
      </w:r>
      <w:r>
        <w:rPr>
          <w:rFonts w:ascii="Arial" w:cs="Arial" w:eastAsia="Arial" w:hAnsi="Arial"/>
          <w:sz w:val="15"/>
          <w:szCs w:val="15"/>
          <w:u w:val="single" w:color="auto"/>
          <w:color w:val="auto"/>
        </w:rPr>
        <w:t>Section 10.10(a)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10.10(b)</w:t>
      </w:r>
      <w:r>
        <w:rPr>
          <w:rFonts w:ascii="Arial" w:cs="Arial" w:eastAsia="Arial" w:hAnsi="Arial"/>
          <w:sz w:val="15"/>
          <w:szCs w:val="15"/>
          <w:color w:val="auto"/>
        </w:rPr>
        <w:t>, where: (i) the disclosure is to an Affiliate; (ii) required to do so by a Governmental Authority, applicable Law or relevant standards of a Government Authority; (iii) or required by the rules of a stock exchange, but, as far as practicable, must notify the other party in advance of its intention to do so and take such steps as the other party reasonably requires to protect the confidentiality of the information. In addition, the Parties acknowledge and agree that because they are Affiliates, the Confidential Information of Recipient may also be part of a Provider’s own business records and as such, notwithstanding any other provision in this document to the contrary, during the term of this Agreement and for seven years after the date of termination, a Provider may use Confidential Information of a Recipient to the extent reasonably required by a Provider or any of its Affiliates for any lawful business purpose, including in connection with litigation, disputes, compliance, financial reporting (including financial audits of historical information), regulatory and accounting matters.</w:t>
      </w:r>
    </w:p>
    <w:p>
      <w:pPr>
        <w:spacing w:after="0" w:line="120" w:lineRule="exact"/>
        <w:rPr>
          <w:rFonts w:ascii="Arial" w:cs="Arial" w:eastAsia="Arial" w:hAnsi="Arial"/>
          <w:sz w:val="15"/>
          <w:szCs w:val="15"/>
          <w:color w:val="auto"/>
        </w:rPr>
      </w:pPr>
    </w:p>
    <w:p>
      <w:pPr>
        <w:jc w:val="both"/>
        <w:ind w:firstLine="990"/>
        <w:spacing w:after="0" w:line="225" w:lineRule="auto"/>
        <w:tabs>
          <w:tab w:leader="none" w:pos="135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Security and Privacy</w:t>
      </w:r>
      <w:r>
        <w:rPr>
          <w:rFonts w:ascii="Arial" w:cs="Arial" w:eastAsia="Arial" w:hAnsi="Arial"/>
          <w:sz w:val="16"/>
          <w:szCs w:val="16"/>
          <w:color w:val="auto"/>
        </w:rPr>
        <w:t>. Each party shall implement and maintain technical and physical controls in accordance with the Data Security and Cybersecurity Program to protect the security and integrity of and prevent the theft, loss, damage and unauthorized access, use and disclosure of the other party’s Confidential Information and Personal Information. Each party agrees if the Confidential Information includes any Personal Information, to comply with all applicable privacy and data protection laws and any reasonable privacy codes or policies adopted by the party that owns the Confidential Information within a reasonable period of time after they have been provided.</w:t>
      </w:r>
    </w:p>
    <w:p>
      <w:pPr>
        <w:spacing w:after="0" w:line="122" w:lineRule="exact"/>
        <w:rPr>
          <w:rFonts w:ascii="Arial" w:cs="Arial" w:eastAsia="Arial" w:hAnsi="Arial"/>
          <w:sz w:val="16"/>
          <w:szCs w:val="16"/>
          <w:color w:val="auto"/>
        </w:rPr>
      </w:pPr>
    </w:p>
    <w:p>
      <w:pPr>
        <w:jc w:val="both"/>
        <w:ind w:firstLine="990"/>
        <w:spacing w:after="0" w:line="237" w:lineRule="auto"/>
        <w:tabs>
          <w:tab w:leader="none" w:pos="1351"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Security Incidents</w:t>
      </w:r>
      <w:r>
        <w:rPr>
          <w:rFonts w:ascii="Arial" w:cs="Arial" w:eastAsia="Arial" w:hAnsi="Arial"/>
          <w:sz w:val="15"/>
          <w:szCs w:val="15"/>
          <w:color w:val="auto"/>
        </w:rPr>
        <w:t>. A party that receives Confidential Information or Personal Information of the other party (“</w:t>
      </w:r>
      <w:r>
        <w:rPr>
          <w:rFonts w:ascii="Arial" w:cs="Arial" w:eastAsia="Arial" w:hAnsi="Arial"/>
          <w:sz w:val="15"/>
          <w:szCs w:val="15"/>
          <w:u w:val="single" w:color="auto"/>
          <w:color w:val="auto"/>
        </w:rPr>
        <w:t>Receiving Party</w:t>
      </w:r>
      <w:r>
        <w:rPr>
          <w:rFonts w:ascii="Arial" w:cs="Arial" w:eastAsia="Arial" w:hAnsi="Arial"/>
          <w:sz w:val="15"/>
          <w:szCs w:val="15"/>
          <w:color w:val="auto"/>
        </w:rPr>
        <w:t>”) shall promptly notify the party who disclosed such Confidential Information or Personal Information (“</w:t>
      </w:r>
      <w:r>
        <w:rPr>
          <w:rFonts w:ascii="Arial" w:cs="Arial" w:eastAsia="Arial" w:hAnsi="Arial"/>
          <w:sz w:val="15"/>
          <w:szCs w:val="15"/>
          <w:u w:val="single" w:color="auto"/>
          <w:color w:val="auto"/>
        </w:rPr>
        <w:t>Disclosing Party</w:t>
      </w:r>
      <w:r>
        <w:rPr>
          <w:rFonts w:ascii="Arial" w:cs="Arial" w:eastAsia="Arial" w:hAnsi="Arial"/>
          <w:sz w:val="15"/>
          <w:szCs w:val="15"/>
          <w:color w:val="auto"/>
        </w:rPr>
        <w:t>”) of any Security Incident that results in the unauthorized access to, disruption of, or misuse of, the Disclosing Party’s Confidential Information or Personal Information or any Information System on which the Disclosing Party’s Confidential Information or Personal Information is stored or materially impacts a Providers’ operations or Providers’ ability to provide the Services in accordance with the Agreement. Notwithstanding the forgoing, a Recipient shall provide notice to a Provider if a Security Incident materially impacts a Recipient’s operations or a Recipient’s ability to receive the Services, in each case, in accordance with the Agreement. Required notices of a Security Incident if Genworth is the Disclosing Party shall be made to DataSecurityTeam.Genworth@genworth.com and in accordance with the formal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60"/>
          </w:cols>
          <w:pgMar w:left="420" w:top="1097" w:right="319" w:bottom="1440" w:gutter="0" w:footer="0" w:header="0"/>
        </w:sectPr>
      </w:pPr>
    </w:p>
    <w:bookmarkStart w:id="232" w:name="page233"/>
    <w:bookmarkEnd w:id="232"/>
    <w:p>
      <w:pPr>
        <w:jc w:val="both"/>
        <w:ind w:left="120"/>
        <w:spacing w:after="0" w:line="231" w:lineRule="auto"/>
        <w:rPr>
          <w:sz w:val="20"/>
          <w:szCs w:val="20"/>
          <w:color w:val="auto"/>
        </w:rPr>
      </w:pPr>
      <w:r>
        <w:rPr>
          <w:rFonts w:ascii="Arial" w:cs="Arial" w:eastAsia="Arial" w:hAnsi="Arial"/>
          <w:sz w:val="15"/>
          <w:szCs w:val="15"/>
          <w:color w:val="auto"/>
        </w:rPr>
        <w:t>requirements in this Agreement. Required notices of a Security Incident if the Company is the Disclosing Party shall be made to the Company’s Chief Information Security Officer and in accordance with the formal notice requirements in this Agreement. The Receiving Party shall provide such notice following discovery and without unreasonable delay, but in no event later than three days following discovery of the Security Incident, even if not all information required by this Section is then available to the Receiving Party or all actions required by this Section have not been completed by the Receiving Party. If any such information is not available at the time of initial notification or any such activities have not been completed at the time of initial notification, the Receiving Party shall continue all commercially reasonable efforts to obtain such information and complete such activities and report to the Disclosing Party the progress and results of the foregoing. With respect to Security Incidents for which notification must be provided under this Agreement, the Receiving Party shall provide the Disclosing Party with a detailed description of the Security Incident, the type of data that was the subject of the Security Incident, the name and any other personally identifying information of each affected individual, and any other information the Disclosing Party may reasonably request concerning the Security Incident. The Receiving Party agrees to take action immediately, at its own expense, to (i) investigate the Security Incident, including without limitation its causes and effects, (ii) identify, prevent and mitigate the effects of any such Security Incident, (iii) carry out any action necessary to remedy the cause of the Security Incident and prevent a recurrence, and (iv) inform the Disclosing Party of the progress and results of the foregoing. At the Disclosing Party’s option, such action shall include without limitation: (A) Receiving Party’s mailing of notices regarding the Security Incident to affected individuals, the content of which shall be subject to Disclosing Party’s prior written approval; and/or (B) provision of credit monitoring or other similar service to affected individuals offered by a reputable provider, for a reasonable duration but in no event more than twelve months. Alternatively, the Disclosing Party may undertake either or both of the foregoing actions at Receiving Party’s commercially reasonable expense. Receiving Party shall not issue any press release or make any other public filing, report or communication regarding any Security Incident for which notification must be provided under this Agreement without Disclosing Party’s prior written approval unless otherwise required by applicable Law, regulation or governmental or judicial order; provided, that in such case the Receiving Party has given the Disclosing Party reasonable advance written notice of the intended disclosure and a reasonable opportunity to seek a protective order or other confidential treatment of the information, each to the extent permitted by law; provided, further, that the disclosure is limited to that required by such applicable law, regulation or governmental or judicial order.</w:t>
      </w:r>
    </w:p>
    <w:p>
      <w:pPr>
        <w:spacing w:after="0" w:line="126"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10.11</w:t>
      </w:r>
      <w:r>
        <w:rPr>
          <w:sz w:val="20"/>
          <w:szCs w:val="20"/>
          <w:color w:val="auto"/>
        </w:rPr>
        <w:tab/>
      </w:r>
      <w:r>
        <w:rPr>
          <w:rFonts w:ascii="Arial" w:cs="Arial" w:eastAsia="Arial" w:hAnsi="Arial"/>
          <w:sz w:val="14"/>
          <w:szCs w:val="14"/>
          <w:u w:val="single" w:color="auto"/>
          <w:color w:val="auto"/>
        </w:rPr>
        <w:t>Amendment; Waiver.</w:t>
      </w:r>
    </w:p>
    <w:p>
      <w:pPr>
        <w:spacing w:after="0" w:line="144" w:lineRule="exact"/>
        <w:rPr>
          <w:sz w:val="20"/>
          <w:szCs w:val="20"/>
          <w:color w:val="auto"/>
        </w:rPr>
      </w:pPr>
    </w:p>
    <w:p>
      <w:pPr>
        <w:jc w:val="both"/>
        <w:ind w:firstLine="492"/>
        <w:spacing w:after="0" w:line="223" w:lineRule="auto"/>
        <w:rPr>
          <w:sz w:val="20"/>
          <w:szCs w:val="20"/>
          <w:color w:val="auto"/>
        </w:rPr>
      </w:pPr>
      <w:r>
        <w:rPr>
          <w:rFonts w:ascii="Arial" w:cs="Arial" w:eastAsia="Arial" w:hAnsi="Arial"/>
          <w:sz w:val="16"/>
          <w:szCs w:val="16"/>
          <w:color w:val="auto"/>
        </w:rPr>
        <w:t xml:space="preserve">No provision of this Agreement may be amended or modified except by a written instrument signed by all the Parties hereto. Either party hereto may, in its sole discretion, waive any and all rights granted to it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waiver by either party of any provision hereof shall be effective unless explicitly set forth in writing and executed by the party so waiving. The waiver by either party hereto of a breach of any provision of this Agreement shall not operate or be construed as a waiver of any other preceding or subsequent breach.</w:t>
      </w:r>
    </w:p>
    <w:p>
      <w:pPr>
        <w:spacing w:after="0" w:line="123"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10.12</w:t>
      </w:r>
      <w:r>
        <w:rPr>
          <w:sz w:val="20"/>
          <w:szCs w:val="20"/>
          <w:color w:val="auto"/>
        </w:rPr>
        <w:tab/>
      </w:r>
      <w:r>
        <w:rPr>
          <w:rFonts w:ascii="Arial" w:cs="Arial" w:eastAsia="Arial" w:hAnsi="Arial"/>
          <w:sz w:val="15"/>
          <w:szCs w:val="15"/>
          <w:u w:val="single" w:color="auto"/>
          <w:color w:val="auto"/>
        </w:rPr>
        <w:t>Rules of Construction.</w:t>
      </w:r>
    </w:p>
    <w:p>
      <w:pPr>
        <w:spacing w:after="0" w:line="144"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16"/>
          <w:szCs w:val="16"/>
          <w:color w:val="auto"/>
        </w:rPr>
        <w:t>Interpretation of this Agreement shall be governed by the following rules of construction: (a) words in the singular shall be held to include the plural and vice versa and words of one gender shall be held to include the other gender as the context requires, (b) references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80"/>
          </w:cols>
          <w:pgMar w:left="300" w:top="1097" w:right="319" w:bottom="1440" w:gutter="0" w:footer="0" w:header="0"/>
        </w:sectPr>
      </w:pPr>
    </w:p>
    <w:bookmarkStart w:id="233" w:name="page234"/>
    <w:bookmarkEnd w:id="233"/>
    <w:p>
      <w:pPr>
        <w:jc w:val="both"/>
        <w:spacing w:after="0"/>
        <w:rPr>
          <w:sz w:val="20"/>
          <w:szCs w:val="20"/>
          <w:color w:val="auto"/>
        </w:rPr>
      </w:pPr>
      <w:r>
        <w:rPr>
          <w:rFonts w:ascii="Arial" w:cs="Arial" w:eastAsia="Arial" w:hAnsi="Arial"/>
          <w:sz w:val="15"/>
          <w:szCs w:val="15"/>
          <w:color w:val="auto"/>
        </w:rPr>
        <w:t>terms Article, Section, paragraph, and Schedule are references to the Articles, Sections, paragraphs, and Schedules to this Agreement unless otherwise specified, (c) the word “including” and words of similar import shall mean “including, without limitation,” (d) provisions shall apply, when appropriate, to successive events and transactions, (e) the table of contents and headings contained herein are for reference purposes only and shall not affect in any way the meaning or interpretation of this Agreement and (f) this Agreement shall be construed without regard to any presumption or rule requiring construction or interpretation against the party drafting or causing any instrument to be drafted, and (g) the words “will” and “shall” are to be interpreted as having the same meaning.</w:t>
      </w:r>
    </w:p>
    <w:p>
      <w:pPr>
        <w:spacing w:after="0" w:line="12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10.13</w:t>
      </w:r>
      <w:r>
        <w:rPr>
          <w:sz w:val="20"/>
          <w:szCs w:val="20"/>
          <w:color w:val="auto"/>
        </w:rPr>
        <w:tab/>
      </w:r>
      <w:r>
        <w:rPr>
          <w:rFonts w:ascii="Arial" w:cs="Arial" w:eastAsia="Arial" w:hAnsi="Arial"/>
          <w:sz w:val="14"/>
          <w:szCs w:val="14"/>
          <w:u w:val="single" w:color="auto"/>
          <w:color w:val="auto"/>
        </w:rPr>
        <w:t>Currency.</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references in this Agreement to “dollars” or “$” are expressed in United States currency, unless otherwise specifically indicated.</w:t>
      </w:r>
    </w:p>
    <w:p>
      <w:pPr>
        <w:spacing w:after="0" w:line="144"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10.14</w:t>
      </w:r>
      <w:r>
        <w:rPr>
          <w:sz w:val="20"/>
          <w:szCs w:val="20"/>
          <w:color w:val="auto"/>
        </w:rPr>
        <w:tab/>
      </w:r>
      <w:r>
        <w:rPr>
          <w:rFonts w:ascii="Arial" w:cs="Arial" w:eastAsia="Arial" w:hAnsi="Arial"/>
          <w:sz w:val="14"/>
          <w:szCs w:val="14"/>
          <w:u w:val="single" w:color="auto"/>
          <w:color w:val="auto"/>
        </w:rPr>
        <w:t>Counterparts.</w:t>
      </w:r>
    </w:p>
    <w:p>
      <w:pPr>
        <w:spacing w:after="0" w:line="144" w:lineRule="exact"/>
        <w:rPr>
          <w:sz w:val="20"/>
          <w:szCs w:val="20"/>
          <w:color w:val="auto"/>
        </w:rPr>
      </w:pPr>
    </w:p>
    <w:p>
      <w:pPr>
        <w:jc w:val="both"/>
        <w:ind w:firstLine="492"/>
        <w:spacing w:after="0" w:line="253" w:lineRule="auto"/>
        <w:rPr>
          <w:sz w:val="20"/>
          <w:szCs w:val="20"/>
          <w:color w:val="auto"/>
        </w:rPr>
      </w:pPr>
      <w:r>
        <w:rPr>
          <w:rFonts w:ascii="Arial" w:cs="Arial" w:eastAsia="Arial" w:hAnsi="Arial"/>
          <w:sz w:val="15"/>
          <w:szCs w:val="15"/>
          <w:color w:val="auto"/>
        </w:rPr>
        <w:t>This Agreement may be executed in one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this Agreement by facsimile or email attachment shall be as effective as delivery of a manually executed counterpart of any such Agreement.</w:t>
      </w:r>
    </w:p>
    <w:p>
      <w:pPr>
        <w:spacing w:after="0" w:line="111" w:lineRule="exact"/>
        <w:rPr>
          <w:sz w:val="20"/>
          <w:szCs w:val="20"/>
          <w:color w:val="auto"/>
        </w:rPr>
      </w:pPr>
    </w:p>
    <w:p>
      <w:pPr>
        <w:jc w:val="both"/>
        <w:ind w:firstLine="492"/>
        <w:spacing w:after="0" w:line="278" w:lineRule="auto"/>
        <w:rPr>
          <w:sz w:val="20"/>
          <w:szCs w:val="20"/>
          <w:color w:val="auto"/>
        </w:rPr>
      </w:pPr>
      <w:r>
        <w:rPr>
          <w:rFonts w:ascii="Arial" w:cs="Arial" w:eastAsia="Arial" w:hAnsi="Arial"/>
          <w:sz w:val="15"/>
          <w:szCs w:val="15"/>
          <w:color w:val="auto"/>
        </w:rPr>
        <w:t xml:space="preserve">Section 10.15 </w:t>
      </w:r>
      <w:r>
        <w:rPr>
          <w:rFonts w:ascii="Arial" w:cs="Arial" w:eastAsia="Arial" w:hAnsi="Arial"/>
          <w:sz w:val="15"/>
          <w:szCs w:val="15"/>
          <w:u w:val="single" w:color="auto"/>
          <w:color w:val="auto"/>
        </w:rPr>
        <w:t>No Right to Set-Off</w:t>
      </w:r>
      <w:r>
        <w:rPr>
          <w:rFonts w:ascii="Arial" w:cs="Arial" w:eastAsia="Arial" w:hAnsi="Arial"/>
          <w:sz w:val="15"/>
          <w:szCs w:val="15"/>
          <w:color w:val="auto"/>
        </w:rPr>
        <w:t>. The Recipient shall pay the full amount of costs and disbursements including Other Costs incurred under this Agreement, and shall not set off, counterclaim or otherwise withhold any other amount owed to the Provider on account of any obligation owed by the Provider to the Recipient.</w:t>
      </w:r>
    </w:p>
    <w:p>
      <w:pPr>
        <w:spacing w:after="0" w:line="257"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10.15</w:t>
      </w:r>
      <w:r>
        <w:rPr>
          <w:sz w:val="20"/>
          <w:szCs w:val="20"/>
          <w:color w:val="auto"/>
        </w:rPr>
        <w:tab/>
      </w:r>
      <w:r>
        <w:rPr>
          <w:rFonts w:ascii="Arial" w:cs="Arial" w:eastAsia="Arial" w:hAnsi="Arial"/>
          <w:sz w:val="15"/>
          <w:szCs w:val="15"/>
          <w:u w:val="single" w:color="auto"/>
          <w:color w:val="auto"/>
        </w:rPr>
        <w:t>Disclaimer.</w:t>
      </w:r>
    </w:p>
    <w:p>
      <w:pPr>
        <w:spacing w:after="0" w:line="144" w:lineRule="exact"/>
        <w:rPr>
          <w:sz w:val="20"/>
          <w:szCs w:val="20"/>
          <w:color w:val="auto"/>
        </w:rPr>
      </w:pPr>
    </w:p>
    <w:p>
      <w:pPr>
        <w:jc w:val="both"/>
        <w:ind w:firstLine="492"/>
        <w:spacing w:after="0" w:line="233" w:lineRule="auto"/>
        <w:rPr>
          <w:sz w:val="20"/>
          <w:szCs w:val="20"/>
          <w:color w:val="auto"/>
        </w:rPr>
      </w:pPr>
      <w:r>
        <w:rPr>
          <w:rFonts w:ascii="Arial" w:cs="Arial" w:eastAsia="Arial" w:hAnsi="Arial"/>
          <w:sz w:val="16"/>
          <w:szCs w:val="16"/>
          <w:color w:val="auto"/>
        </w:rPr>
        <w:t>EXCEPT AS EXPRESSLY PROVIDED HEREIN, THE SERVICES AND ANY ADDITIONAL SERVICES ARE PROVIDED ON AN “AS IS” BASIS WITHOUT WARRANTIES OF ANY KIND, WHETHER EXPRESS OR IMPLIED, INCLUDING WARRANTIES OF MERCHANTABILITY, FITNESS FOR A PARTICULAR PURPOSE AND NON-INFRINGEMENT.</w:t>
      </w:r>
    </w:p>
    <w:p>
      <w:pPr>
        <w:spacing w:after="0" w:line="121"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6"/>
          <w:szCs w:val="16"/>
          <w:color w:val="auto"/>
        </w:rPr>
        <w:t>Section 10.16</w:t>
      </w:r>
      <w:r>
        <w:rPr>
          <w:sz w:val="20"/>
          <w:szCs w:val="20"/>
          <w:color w:val="auto"/>
        </w:rPr>
        <w:tab/>
      </w:r>
      <w:r>
        <w:rPr>
          <w:rFonts w:ascii="Arial" w:cs="Arial" w:eastAsia="Arial" w:hAnsi="Arial"/>
          <w:sz w:val="15"/>
          <w:szCs w:val="15"/>
          <w:u w:val="single" w:color="auto"/>
          <w:color w:val="auto"/>
        </w:rPr>
        <w:t>Conflicts.</w:t>
      </w:r>
    </w:p>
    <w:p>
      <w:pPr>
        <w:spacing w:after="0" w:line="144" w:lineRule="exact"/>
        <w:rPr>
          <w:sz w:val="20"/>
          <w:szCs w:val="20"/>
          <w:color w:val="auto"/>
        </w:rPr>
      </w:pPr>
    </w:p>
    <w:p>
      <w:pPr>
        <w:jc w:val="both"/>
        <w:ind w:firstLine="492"/>
        <w:spacing w:after="0" w:line="244" w:lineRule="auto"/>
        <w:rPr>
          <w:sz w:val="20"/>
          <w:szCs w:val="20"/>
          <w:color w:val="auto"/>
        </w:rPr>
      </w:pPr>
      <w:r>
        <w:rPr>
          <w:rFonts w:ascii="Arial" w:cs="Arial" w:eastAsia="Arial" w:hAnsi="Arial"/>
          <w:sz w:val="15"/>
          <w:szCs w:val="15"/>
          <w:color w:val="auto"/>
        </w:rPr>
        <w:t>To the extent any term or provision of this Agreement is in conflict with any term or provision of any Schedule hereto, the terms and provisions of the Schedules hereto shall govern solely to the extent of any such conflict. In the event that the Parties enter into an agreement in connection with a transaction that causes the Company to no longer be wholly owned by Genworth (a “Relationship Agreement”) and any term or provision of a Relationship Agreement is in conflict with any term or provision of this Agreement or any Schedules hereto the terms of the Relationship Agreement shall govern solely to the extent of such conflict.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80"/>
          </w:cols>
          <w:pgMar w:left="300" w:top="1098" w:right="31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color w:val="auto"/>
        </w:rPr>
        <w:t>IN WITNESS WHEREOF, the Parties have caused this Agreement to be executed on the date first written above by their respective duly authorized officers.</w:t>
      </w:r>
    </w:p>
    <w:p>
      <w:pPr>
        <w:sectPr>
          <w:pgSz w:w="11900" w:h="16838" w:orient="portrait"/>
          <w:cols w:equalWidth="0" w:num="1">
            <w:col w:w="10300"/>
          </w:cols>
          <w:pgMar w:left="800" w:top="1282" w:right="799" w:bottom="1440" w:gutter="0" w:footer="0" w:header="0"/>
        </w:sectPr>
      </w:pPr>
    </w:p>
    <w:p>
      <w:pPr>
        <w:spacing w:after="0" w:line="167"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GENWORTH FINANCIAL, INC.</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460"/>
        <w:spacing w:after="0"/>
        <w:tabs>
          <w:tab w:leader="none" w:pos="30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Thomas J. McInerney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-4445</wp:posOffset>
            </wp:positionV>
            <wp:extent cx="134874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1348740" cy="6350"/>
                    </a:xfrm>
                    <a:prstGeom prst="rect">
                      <a:avLst/>
                    </a:prstGeom>
                    <a:noFill/>
                  </pic:spPr>
                </pic:pic>
              </a:graphicData>
            </a:graphic>
          </wp:anchor>
        </w:drawing>
      </w:r>
    </w:p>
    <w:p>
      <w:pPr>
        <w:ind w:left="2620"/>
        <w:spacing w:after="0" w:line="214" w:lineRule="auto"/>
        <w:rPr>
          <w:sz w:val="20"/>
          <w:szCs w:val="20"/>
          <w:color w:val="auto"/>
        </w:rPr>
      </w:pPr>
      <w:r>
        <w:rPr>
          <w:rFonts w:ascii="Arial" w:cs="Arial" w:eastAsia="Arial" w:hAnsi="Arial"/>
          <w:sz w:val="16"/>
          <w:szCs w:val="16"/>
          <w:color w:val="auto"/>
        </w:rPr>
        <w:t>Name: Thomas J. McInerney</w:t>
      </w:r>
    </w:p>
    <w:p>
      <w:pPr>
        <w:ind w:left="2620"/>
        <w:spacing w:after="0"/>
        <w:rPr>
          <w:sz w:val="20"/>
          <w:szCs w:val="20"/>
          <w:color w:val="auto"/>
        </w:rPr>
      </w:pPr>
      <w:r>
        <w:rPr>
          <w:rFonts w:ascii="Arial" w:cs="Arial" w:eastAsia="Arial" w:hAnsi="Arial"/>
          <w:sz w:val="16"/>
          <w:szCs w:val="16"/>
          <w:color w:val="auto"/>
        </w:rPr>
        <w:t>Title: President and CEO</w:t>
      </w:r>
    </w:p>
    <w:p>
      <w:pPr>
        <w:spacing w:after="0" w:line="294"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ENACT HOLDINGS,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46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color w:val="auto"/>
              </w:rPr>
              <w:t>By:</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Rohit Gupta</w:t>
            </w:r>
          </w:p>
        </w:tc>
        <w:tc>
          <w:tcPr>
            <w:tcW w:w="80" w:type="dxa"/>
            <w:vAlign w:val="bottom"/>
          </w:tcPr>
          <w:p>
            <w:pPr>
              <w:spacing w:after="0"/>
              <w:rPr>
                <w:sz w:val="16"/>
                <w:szCs w:val="16"/>
                <w:color w:val="auto"/>
              </w:rPr>
            </w:pPr>
          </w:p>
        </w:tc>
      </w:tr>
      <w:tr>
        <w:trPr>
          <w:trHeight w:val="138"/>
        </w:trPr>
        <w:tc>
          <w:tcPr>
            <w:tcW w:w="1900" w:type="dxa"/>
            <w:vAlign w:val="bottom"/>
            <w:gridSpan w:val="3"/>
          </w:tcPr>
          <w:p>
            <w:pPr>
              <w:ind w:left="160"/>
              <w:spacing w:after="0" w:line="138" w:lineRule="exact"/>
              <w:rPr>
                <w:sz w:val="20"/>
                <w:szCs w:val="20"/>
                <w:color w:val="auto"/>
              </w:rPr>
            </w:pPr>
            <w:r>
              <w:rPr>
                <w:rFonts w:ascii="Arial" w:cs="Arial" w:eastAsia="Arial" w:hAnsi="Arial"/>
                <w:sz w:val="15"/>
                <w:szCs w:val="15"/>
                <w:color w:val="auto"/>
              </w:rPr>
              <w:t>Name: Rohit Gupta</w:t>
            </w:r>
          </w:p>
        </w:tc>
        <w:tc>
          <w:tcPr>
            <w:tcW w:w="80" w:type="dxa"/>
            <w:vAlign w:val="bottom"/>
          </w:tcPr>
          <w:p>
            <w:pPr>
              <w:spacing w:after="0"/>
              <w:rPr>
                <w:sz w:val="11"/>
                <w:szCs w:val="11"/>
                <w:color w:val="auto"/>
              </w:rPr>
            </w:pPr>
          </w:p>
        </w:tc>
      </w:tr>
      <w:tr>
        <w:trPr>
          <w:trHeight w:val="208"/>
        </w:trPr>
        <w:tc>
          <w:tcPr>
            <w:tcW w:w="540" w:type="dxa"/>
            <w:vAlign w:val="bottom"/>
            <w:gridSpan w:val="2"/>
          </w:tcPr>
          <w:p>
            <w:pPr>
              <w:ind w:left="160"/>
              <w:spacing w:after="0"/>
              <w:rPr>
                <w:sz w:val="20"/>
                <w:szCs w:val="20"/>
                <w:color w:val="auto"/>
              </w:rPr>
            </w:pPr>
            <w:r>
              <w:rPr>
                <w:rFonts w:ascii="Arial" w:cs="Arial" w:eastAsia="Arial" w:hAnsi="Arial"/>
                <w:sz w:val="16"/>
                <w:szCs w:val="16"/>
                <w:color w:val="auto"/>
              </w:rPr>
              <w:t>Title:</w:t>
            </w:r>
          </w:p>
        </w:tc>
        <w:tc>
          <w:tcPr>
            <w:tcW w:w="1440" w:type="dxa"/>
            <w:vAlign w:val="bottom"/>
            <w:gridSpan w:val="2"/>
          </w:tcPr>
          <w:p>
            <w:pPr>
              <w:ind w:left="180"/>
              <w:spacing w:after="0"/>
              <w:rPr>
                <w:sz w:val="20"/>
                <w:szCs w:val="20"/>
                <w:color w:val="auto"/>
              </w:rPr>
            </w:pPr>
            <w:r>
              <w:rPr>
                <w:rFonts w:ascii="Arial" w:cs="Arial" w:eastAsia="Arial" w:hAnsi="Arial"/>
                <w:sz w:val="16"/>
                <w:szCs w:val="16"/>
                <w:color w:val="auto"/>
                <w:w w:val="89"/>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300"/>
          </w:cols>
          <w:pgMar w:left="800" w:top="1282" w:right="799" w:bottom="1440" w:gutter="0" w:footer="0" w:header="0"/>
          <w:type w:val="continuous"/>
        </w:sectPr>
      </w:pPr>
    </w:p>
    <w:bookmarkStart w:id="235" w:name="page236"/>
    <w:bookmarkEnd w:id="235"/>
    <w:p>
      <w:pPr>
        <w:jc w:val="center"/>
        <w:ind w:right="20"/>
        <w:spacing w:after="0"/>
        <w:rPr>
          <w:sz w:val="20"/>
          <w:szCs w:val="20"/>
          <w:color w:val="auto"/>
        </w:rPr>
      </w:pPr>
      <w:r>
        <w:rPr>
          <w:rFonts w:ascii="Arial" w:cs="Arial" w:eastAsia="Arial" w:hAnsi="Arial"/>
          <w:sz w:val="16"/>
          <w:szCs w:val="16"/>
          <w:b w:val="1"/>
          <w:bCs w:val="1"/>
          <w:u w:val="single" w:color="auto"/>
          <w:color w:val="auto"/>
        </w:rPr>
        <w:t>SCHEDULE A</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GENWORTH SERVICES</w:t>
      </w:r>
    </w:p>
    <w:p>
      <w:pPr>
        <w:spacing w:after="0" w:line="333" w:lineRule="exact"/>
        <w:rPr>
          <w:sz w:val="20"/>
          <w:szCs w:val="20"/>
          <w:color w:val="auto"/>
        </w:rPr>
      </w:pPr>
    </w:p>
    <w:p>
      <w:pPr>
        <w:jc w:val="both"/>
        <w:ind w:right="120"/>
        <w:spacing w:after="0" w:line="315" w:lineRule="auto"/>
        <w:rPr>
          <w:sz w:val="20"/>
          <w:szCs w:val="20"/>
          <w:color w:val="auto"/>
        </w:rPr>
      </w:pPr>
      <w:r>
        <w:rPr>
          <w:rFonts w:ascii="Arial" w:cs="Arial" w:eastAsia="Arial" w:hAnsi="Arial"/>
          <w:sz w:val="14"/>
          <w:szCs w:val="14"/>
          <w:color w:val="auto"/>
        </w:rPr>
        <w:t xml:space="preserve">The Service Charge for each such Service shall be calculated in accordance with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provided that in no event will the portion of the Service Charge attributable to Overhead Allocation Charges for all Services in a given calendar year exceed the Genworth Charges Cap for the applicable calendar year as set forth at </w:t>
      </w:r>
      <w:r>
        <w:rPr>
          <w:rFonts w:ascii="Arial" w:cs="Arial" w:eastAsia="Arial" w:hAnsi="Arial"/>
          <w:sz w:val="14"/>
          <w:szCs w:val="14"/>
          <w:u w:val="single" w:color="auto"/>
          <w:color w:val="auto"/>
        </w:rPr>
        <w:t>Section 5.01(d</w:t>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Charges:</w:t>
      </w:r>
    </w:p>
    <w:p>
      <w:pPr>
        <w:spacing w:after="0" w:line="16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b w:val="1"/>
          <w:bCs w:val="1"/>
          <w:color w:val="auto"/>
        </w:rPr>
        <w:t xml:space="preserve">Overhead Allocation (COH): </w:t>
      </w:r>
      <w:r>
        <w:rPr>
          <w:rFonts w:ascii="Arial" w:cs="Arial" w:eastAsia="Arial" w:hAnsi="Arial"/>
          <w:sz w:val="16"/>
          <w:szCs w:val="16"/>
          <w:color w:val="auto"/>
        </w:rPr>
        <w:t>Company shall pay the actual charges without markup, but in no event shall such charges exceed the sum of $36 million minus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already billed for Services performed in calendar 2021 as of the date of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 Bill: </w:t>
      </w:r>
      <w:r>
        <w:rPr>
          <w:rFonts w:ascii="Arial" w:cs="Arial" w:eastAsia="Arial" w:hAnsi="Arial"/>
          <w:sz w:val="16"/>
          <w:szCs w:val="16"/>
          <w:color w:val="auto"/>
        </w:rPr>
        <w:t>The Company shall pay Direct Bill charges, which for calendar year 2021 are estimated at approximately $9.3 million.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p>
    <w:p>
      <w:pPr>
        <w:ind w:right="580"/>
        <w:spacing w:after="0" w:line="233" w:lineRule="auto"/>
        <w:rPr>
          <w:sz w:val="20"/>
          <w:szCs w:val="20"/>
          <w:color w:val="auto"/>
        </w:rPr>
      </w:pPr>
      <w:r>
        <w:rPr>
          <w:rFonts w:ascii="Arial" w:cs="Arial" w:eastAsia="Arial" w:hAnsi="Arial"/>
          <w:sz w:val="16"/>
          <w:szCs w:val="16"/>
          <w:color w:val="auto"/>
        </w:rPr>
        <w:t>Services that are dependent on other identified parent Services may be materially impacted, up to and including unavailability to the extent that such dependency is terminated independently.</w:t>
      </w:r>
    </w:p>
    <w:p>
      <w:pPr>
        <w:spacing w:after="0" w:line="142" w:lineRule="exact"/>
        <w:rPr>
          <w:sz w:val="20"/>
          <w:szCs w:val="20"/>
          <w:color w:val="auto"/>
        </w:rPr>
      </w:pPr>
    </w:p>
    <w:p>
      <w:pPr>
        <w:ind w:right="240"/>
        <w:spacing w:after="0" w:line="245" w:lineRule="auto"/>
        <w:rPr>
          <w:sz w:val="20"/>
          <w:szCs w:val="20"/>
          <w:color w:val="auto"/>
        </w:rPr>
      </w:pPr>
      <w:r>
        <w:rPr>
          <w:rFonts w:ascii="Arial" w:cs="Arial" w:eastAsia="Arial" w:hAnsi="Arial"/>
          <w:sz w:val="16"/>
          <w:szCs w:val="16"/>
          <w:color w:val="auto"/>
        </w:rPr>
        <w:t>For purposes of these schedules, the term “AUS MI” shall mean those Divested Units to which Genworth owes certain administrative and support services pursuant to a transition services agreement with those parties and the term “GF” shall mean Genworth Financial Inc.</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Finance</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42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right w:val="single" w:sz="8" w:color="auto"/>
            </w:tcBorders>
            <w:vMerge w:val="restart"/>
            <w:shd w:val="clear" w:color="auto" w:fill="C6D9F1"/>
          </w:tcPr>
          <w:p>
            <w:pPr>
              <w:ind w:left="40"/>
              <w:spacing w:after="0"/>
              <w:rPr>
                <w:sz w:val="20"/>
                <w:szCs w:val="20"/>
                <w:color w:val="auto"/>
              </w:rPr>
            </w:pPr>
            <w:r>
              <w:rPr>
                <w:rFonts w:ascii="Arial" w:cs="Arial" w:eastAsia="Arial" w:hAnsi="Arial"/>
                <w:sz w:val="16"/>
                <w:szCs w:val="16"/>
                <w:b w:val="1"/>
                <w:bCs w:val="1"/>
                <w:color w:val="auto"/>
                <w:w w:val="99"/>
              </w:rPr>
              <w:t>Service Category</w:t>
            </w:r>
          </w:p>
        </w:tc>
        <w:tc>
          <w:tcPr>
            <w:tcW w:w="2820" w:type="dxa"/>
            <w:vAlign w:val="bottom"/>
            <w:tcBorders>
              <w:top w:val="single" w:sz="8" w:color="auto"/>
              <w:right w:val="single" w:sz="8" w:color="auto"/>
            </w:tcBorders>
            <w:vMerge w:val="restart"/>
            <w:shd w:val="clear" w:color="auto" w:fill="C6D9F1"/>
          </w:tcPr>
          <w:p>
            <w:pPr>
              <w:ind w:left="40"/>
              <w:spacing w:after="0"/>
              <w:rPr>
                <w:sz w:val="20"/>
                <w:szCs w:val="20"/>
                <w:color w:val="auto"/>
              </w:rPr>
            </w:pPr>
            <w:r>
              <w:rPr>
                <w:rFonts w:ascii="Arial" w:cs="Arial" w:eastAsia="Arial" w:hAnsi="Arial"/>
                <w:sz w:val="16"/>
                <w:szCs w:val="16"/>
                <w:b w:val="1"/>
                <w:bCs w:val="1"/>
                <w:color w:val="auto"/>
              </w:rPr>
              <w:t>Description of Services</w:t>
            </w:r>
          </w:p>
        </w:tc>
        <w:tc>
          <w:tcPr>
            <w:tcW w:w="2320" w:type="dxa"/>
            <w:vAlign w:val="bottom"/>
            <w:tcBorders>
              <w:top w:val="single" w:sz="8" w:color="auto"/>
              <w:right w:val="single" w:sz="8" w:color="auto"/>
            </w:tcBorders>
            <w:vMerge w:val="restart"/>
            <w:shd w:val="clear" w:color="auto" w:fill="C6D9F1"/>
          </w:tcPr>
          <w:p>
            <w:pPr>
              <w:ind w:left="40"/>
              <w:spacing w:after="0"/>
              <w:rPr>
                <w:sz w:val="20"/>
                <w:szCs w:val="20"/>
                <w:color w:val="auto"/>
              </w:rPr>
            </w:pPr>
            <w:r>
              <w:rPr>
                <w:rFonts w:ascii="Arial" w:cs="Arial" w:eastAsia="Arial" w:hAnsi="Arial"/>
                <w:sz w:val="16"/>
                <w:szCs w:val="16"/>
                <w:b w:val="1"/>
                <w:bCs w:val="1"/>
                <w:color w:val="auto"/>
              </w:rPr>
              <w:t>Additional Information</w:t>
            </w:r>
          </w:p>
        </w:tc>
        <w:tc>
          <w:tcPr>
            <w:tcW w:w="1120" w:type="dxa"/>
            <w:vAlign w:val="bottom"/>
            <w:tcBorders>
              <w:top w:val="single" w:sz="8" w:color="auto"/>
              <w:right w:val="single" w:sz="8" w:color="auto"/>
            </w:tcBorders>
            <w:vMerge w:val="restart"/>
            <w:shd w:val="clear" w:color="auto" w:fill="C6D9F1"/>
          </w:tcPr>
          <w:p>
            <w:pPr>
              <w:ind w:left="60"/>
              <w:spacing w:after="0"/>
              <w:rPr>
                <w:sz w:val="20"/>
                <w:szCs w:val="20"/>
                <w:color w:val="auto"/>
              </w:rPr>
            </w:pPr>
            <w:r>
              <w:rPr>
                <w:rFonts w:ascii="Arial" w:cs="Arial" w:eastAsia="Arial" w:hAnsi="Arial"/>
                <w:sz w:val="16"/>
                <w:szCs w:val="16"/>
                <w:b w:val="1"/>
                <w:bCs w:val="1"/>
                <w:color w:val="auto"/>
                <w:w w:val="94"/>
              </w:rPr>
              <w:t>Expense Type</w:t>
            </w:r>
          </w:p>
        </w:tc>
        <w:tc>
          <w:tcPr>
            <w:tcW w:w="1500" w:type="dxa"/>
            <w:vAlign w:val="bottom"/>
            <w:tcBorders>
              <w:top w:val="single" w:sz="8" w:color="auto"/>
              <w:right w:val="single" w:sz="8" w:color="auto"/>
            </w:tcBorders>
            <w:vMerge w:val="restart"/>
            <w:shd w:val="clear" w:color="auto" w:fill="C6D9F1"/>
          </w:tcPr>
          <w:p>
            <w:pPr>
              <w:ind w:left="60"/>
              <w:spacing w:after="0"/>
              <w:rPr>
                <w:sz w:val="20"/>
                <w:szCs w:val="20"/>
                <w:color w:val="auto"/>
              </w:rPr>
            </w:pPr>
            <w:r>
              <w:rPr>
                <w:rFonts w:ascii="Arial" w:cs="Arial" w:eastAsia="Arial" w:hAnsi="Arial"/>
                <w:sz w:val="16"/>
                <w:szCs w:val="16"/>
                <w:b w:val="1"/>
                <w:bCs w:val="1"/>
                <w:color w:val="auto"/>
              </w:rPr>
              <w:t>Service Fee</w:t>
            </w:r>
          </w:p>
        </w:tc>
        <w:tc>
          <w:tcPr>
            <w:tcW w:w="1740" w:type="dxa"/>
            <w:vAlign w:val="bottom"/>
            <w:tcBorders>
              <w:top w:val="single" w:sz="8" w:color="auto"/>
              <w:right w:val="single" w:sz="8" w:color="auto"/>
            </w:tcBorders>
            <w:shd w:val="clear" w:color="auto" w:fill="C6D9F1"/>
          </w:tcPr>
          <w:p>
            <w:pPr>
              <w:ind w:left="40"/>
              <w:spacing w:after="0" w:line="145" w:lineRule="exact"/>
              <w:rPr>
                <w:sz w:val="20"/>
                <w:szCs w:val="20"/>
                <w:color w:val="auto"/>
              </w:rPr>
            </w:pPr>
            <w:r>
              <w:rPr>
                <w:rFonts w:ascii="Arial" w:cs="Arial" w:eastAsia="Arial" w:hAnsi="Arial"/>
                <w:sz w:val="16"/>
                <w:szCs w:val="16"/>
                <w:b w:val="1"/>
                <w:bCs w:val="1"/>
                <w:color w:val="auto"/>
              </w:rPr>
              <w:t>Dependencies</w:t>
            </w:r>
          </w:p>
        </w:tc>
        <w:tc>
          <w:tcPr>
            <w:tcW w:w="0" w:type="dxa"/>
            <w:vAlign w:val="bottom"/>
          </w:tcPr>
          <w:p>
            <w:pPr>
              <w:spacing w:after="0"/>
              <w:rPr>
                <w:sz w:val="1"/>
                <w:szCs w:val="1"/>
                <w:color w:val="auto"/>
              </w:rPr>
            </w:pPr>
          </w:p>
        </w:tc>
      </w:tr>
      <w:tr>
        <w:trPr>
          <w:trHeight w:val="130"/>
        </w:trPr>
        <w:tc>
          <w:tcPr>
            <w:tcW w:w="420" w:type="dxa"/>
            <w:vAlign w:val="bottom"/>
            <w:tcBorders>
              <w:left w:val="single" w:sz="8" w:color="auto"/>
              <w:right w:val="single" w:sz="8" w:color="auto"/>
            </w:tcBorders>
            <w:vMerge w:val="continue"/>
            <w:shd w:val="clear" w:color="auto" w:fill="C6D9F1"/>
          </w:tcPr>
          <w:p>
            <w:pPr>
              <w:spacing w:after="0"/>
              <w:rPr>
                <w:sz w:val="11"/>
                <w:szCs w:val="11"/>
                <w:color w:val="auto"/>
              </w:rPr>
            </w:pPr>
          </w:p>
        </w:tc>
        <w:tc>
          <w:tcPr>
            <w:tcW w:w="1380" w:type="dxa"/>
            <w:vAlign w:val="bottom"/>
            <w:tcBorders>
              <w:right w:val="single" w:sz="8" w:color="auto"/>
            </w:tcBorders>
            <w:vMerge w:val="continue"/>
            <w:shd w:val="clear" w:color="auto" w:fill="C6D9F1"/>
          </w:tcPr>
          <w:p>
            <w:pPr>
              <w:spacing w:after="0"/>
              <w:rPr>
                <w:sz w:val="11"/>
                <w:szCs w:val="11"/>
                <w:color w:val="auto"/>
              </w:rPr>
            </w:pPr>
          </w:p>
        </w:tc>
        <w:tc>
          <w:tcPr>
            <w:tcW w:w="2820" w:type="dxa"/>
            <w:vAlign w:val="bottom"/>
            <w:tcBorders>
              <w:right w:val="single" w:sz="8" w:color="auto"/>
            </w:tcBorders>
            <w:vMerge w:val="continue"/>
            <w:shd w:val="clear" w:color="auto" w:fill="C6D9F1"/>
          </w:tcPr>
          <w:p>
            <w:pPr>
              <w:spacing w:after="0"/>
              <w:rPr>
                <w:sz w:val="11"/>
                <w:szCs w:val="11"/>
                <w:color w:val="auto"/>
              </w:rPr>
            </w:pPr>
          </w:p>
        </w:tc>
        <w:tc>
          <w:tcPr>
            <w:tcW w:w="2320" w:type="dxa"/>
            <w:vAlign w:val="bottom"/>
            <w:tcBorders>
              <w:right w:val="single" w:sz="8" w:color="auto"/>
            </w:tcBorders>
            <w:vMerge w:val="continue"/>
            <w:shd w:val="clear" w:color="auto" w:fill="C6D9F1"/>
          </w:tcPr>
          <w:p>
            <w:pPr>
              <w:spacing w:after="0"/>
              <w:rPr>
                <w:sz w:val="11"/>
                <w:szCs w:val="11"/>
                <w:color w:val="auto"/>
              </w:rPr>
            </w:pPr>
          </w:p>
        </w:tc>
        <w:tc>
          <w:tcPr>
            <w:tcW w:w="1120" w:type="dxa"/>
            <w:vAlign w:val="bottom"/>
            <w:tcBorders>
              <w:right w:val="single" w:sz="8" w:color="auto"/>
            </w:tcBorders>
            <w:vMerge w:val="continue"/>
            <w:shd w:val="clear" w:color="auto" w:fill="C6D9F1"/>
          </w:tcPr>
          <w:p>
            <w:pPr>
              <w:spacing w:after="0"/>
              <w:rPr>
                <w:sz w:val="11"/>
                <w:szCs w:val="11"/>
                <w:color w:val="auto"/>
              </w:rPr>
            </w:pPr>
          </w:p>
        </w:tc>
        <w:tc>
          <w:tcPr>
            <w:tcW w:w="1500" w:type="dxa"/>
            <w:vAlign w:val="bottom"/>
            <w:tcBorders>
              <w:right w:val="single" w:sz="8" w:color="auto"/>
            </w:tcBorders>
            <w:vMerge w:val="continue"/>
            <w:shd w:val="clear" w:color="auto" w:fill="C6D9F1"/>
          </w:tcPr>
          <w:p>
            <w:pPr>
              <w:spacing w:after="0"/>
              <w:rPr>
                <w:sz w:val="11"/>
                <w:szCs w:val="11"/>
                <w:color w:val="auto"/>
              </w:rPr>
            </w:pPr>
          </w:p>
        </w:tc>
        <w:tc>
          <w:tcPr>
            <w:tcW w:w="1740" w:type="dxa"/>
            <w:vAlign w:val="bottom"/>
            <w:tcBorders>
              <w:right w:val="single" w:sz="8" w:color="auto"/>
            </w:tcBorders>
            <w:vMerge w:val="restart"/>
            <w:shd w:val="clear" w:color="auto" w:fill="C6D9F1"/>
          </w:tcPr>
          <w:p>
            <w:pPr>
              <w:ind w:left="40"/>
              <w:spacing w:after="0"/>
              <w:rPr>
                <w:sz w:val="20"/>
                <w:szCs w:val="20"/>
                <w:color w:val="auto"/>
              </w:rPr>
            </w:pPr>
            <w:r>
              <w:rPr>
                <w:rFonts w:ascii="Arial" w:cs="Arial" w:eastAsia="Arial" w:hAnsi="Arial"/>
                <w:sz w:val="16"/>
                <w:szCs w:val="16"/>
                <w:b w:val="1"/>
                <w:bCs w:val="1"/>
                <w:color w:val="auto"/>
              </w:rPr>
              <w:t>(Note Service #)</w:t>
            </w:r>
          </w:p>
        </w:tc>
        <w:tc>
          <w:tcPr>
            <w:tcW w:w="0" w:type="dxa"/>
            <w:vAlign w:val="bottom"/>
          </w:tcPr>
          <w:p>
            <w:pPr>
              <w:spacing w:after="0"/>
              <w:rPr>
                <w:sz w:val="1"/>
                <w:szCs w:val="1"/>
                <w:color w:val="auto"/>
              </w:rPr>
            </w:pPr>
          </w:p>
        </w:tc>
      </w:tr>
      <w:tr>
        <w:trPr>
          <w:trHeight w:val="84"/>
        </w:trPr>
        <w:tc>
          <w:tcPr>
            <w:tcW w:w="420" w:type="dxa"/>
            <w:vAlign w:val="bottom"/>
            <w:tcBorders>
              <w:left w:val="single" w:sz="8" w:color="auto"/>
              <w:bottom w:val="single" w:sz="8" w:color="auto"/>
              <w:right w:val="single" w:sz="8" w:color="auto"/>
            </w:tcBorders>
            <w:shd w:val="clear" w:color="auto" w:fill="C6D9F1"/>
          </w:tcPr>
          <w:p>
            <w:pPr>
              <w:spacing w:after="0"/>
              <w:rPr>
                <w:sz w:val="7"/>
                <w:szCs w:val="7"/>
                <w:color w:val="auto"/>
              </w:rPr>
            </w:pPr>
          </w:p>
        </w:tc>
        <w:tc>
          <w:tcPr>
            <w:tcW w:w="1380" w:type="dxa"/>
            <w:vAlign w:val="bottom"/>
            <w:tcBorders>
              <w:bottom w:val="single" w:sz="8" w:color="auto"/>
              <w:right w:val="single" w:sz="8" w:color="auto"/>
            </w:tcBorders>
            <w:shd w:val="clear" w:color="auto" w:fill="C6D9F1"/>
          </w:tcPr>
          <w:p>
            <w:pPr>
              <w:spacing w:after="0"/>
              <w:rPr>
                <w:sz w:val="7"/>
                <w:szCs w:val="7"/>
                <w:color w:val="auto"/>
              </w:rPr>
            </w:pPr>
          </w:p>
        </w:tc>
        <w:tc>
          <w:tcPr>
            <w:tcW w:w="2820" w:type="dxa"/>
            <w:vAlign w:val="bottom"/>
            <w:tcBorders>
              <w:bottom w:val="single" w:sz="8" w:color="auto"/>
              <w:right w:val="single" w:sz="8" w:color="auto"/>
            </w:tcBorders>
            <w:shd w:val="clear" w:color="auto" w:fill="C6D9F1"/>
          </w:tcPr>
          <w:p>
            <w:pPr>
              <w:spacing w:after="0"/>
              <w:rPr>
                <w:sz w:val="7"/>
                <w:szCs w:val="7"/>
                <w:color w:val="auto"/>
              </w:rPr>
            </w:pPr>
          </w:p>
        </w:tc>
        <w:tc>
          <w:tcPr>
            <w:tcW w:w="2320" w:type="dxa"/>
            <w:vAlign w:val="bottom"/>
            <w:tcBorders>
              <w:bottom w:val="single" w:sz="8" w:color="auto"/>
              <w:right w:val="single" w:sz="8" w:color="auto"/>
            </w:tcBorders>
            <w:shd w:val="clear" w:color="auto" w:fill="C6D9F1"/>
          </w:tcPr>
          <w:p>
            <w:pPr>
              <w:spacing w:after="0"/>
              <w:rPr>
                <w:sz w:val="7"/>
                <w:szCs w:val="7"/>
                <w:color w:val="auto"/>
              </w:rPr>
            </w:pPr>
          </w:p>
        </w:tc>
        <w:tc>
          <w:tcPr>
            <w:tcW w:w="1120" w:type="dxa"/>
            <w:vAlign w:val="bottom"/>
            <w:tcBorders>
              <w:bottom w:val="single" w:sz="8" w:color="auto"/>
              <w:right w:val="single" w:sz="8" w:color="auto"/>
            </w:tcBorders>
            <w:shd w:val="clear" w:color="auto" w:fill="C6D9F1"/>
          </w:tcPr>
          <w:p>
            <w:pPr>
              <w:spacing w:after="0"/>
              <w:rPr>
                <w:sz w:val="7"/>
                <w:szCs w:val="7"/>
                <w:color w:val="auto"/>
              </w:rPr>
            </w:pPr>
          </w:p>
        </w:tc>
        <w:tc>
          <w:tcPr>
            <w:tcW w:w="1500" w:type="dxa"/>
            <w:vAlign w:val="bottom"/>
            <w:tcBorders>
              <w:bottom w:val="single" w:sz="8" w:color="auto"/>
              <w:right w:val="single" w:sz="8" w:color="auto"/>
            </w:tcBorders>
            <w:shd w:val="clear" w:color="auto" w:fill="C6D9F1"/>
          </w:tcPr>
          <w:p>
            <w:pPr>
              <w:spacing w:after="0"/>
              <w:rPr>
                <w:sz w:val="7"/>
                <w:szCs w:val="7"/>
                <w:color w:val="auto"/>
              </w:rPr>
            </w:pPr>
          </w:p>
        </w:tc>
        <w:tc>
          <w:tcPr>
            <w:tcW w:w="1740" w:type="dxa"/>
            <w:vAlign w:val="bottom"/>
            <w:tcBorders>
              <w:bottom w:val="single" w:sz="8" w:color="auto"/>
              <w:right w:val="single" w:sz="8" w:color="auto"/>
            </w:tcBorders>
            <w:vMerge w:val="continue"/>
            <w:shd w:val="clear" w:color="auto" w:fill="C6D9F1"/>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6"/>
              </w:rPr>
              <w:t>Provide management oversight and business support</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1</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Genworth Executive</w:t>
            </w:r>
          </w:p>
        </w:tc>
        <w:tc>
          <w:tcPr>
            <w:tcW w:w="28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from the Genworth CEO and staff</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42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Provide corporate social responsibility programs</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Genworth Corporate</w:t>
            </w: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including select Genworth Foundation grants,</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2</w:t>
            </w: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8"/>
              </w:rPr>
              <w:t>community sponsorships, volunteer councils and HQ</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20" w:type="dxa"/>
            <w:vAlign w:val="bottom"/>
            <w:tcBorders>
              <w:left w:val="single" w:sz="8" w:color="auto"/>
              <w:right w:val="single" w:sz="8" w:color="auto"/>
            </w:tcBorders>
            <w:vMerge w:val="continue"/>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Social Responsibility</w:t>
            </w:r>
          </w:p>
        </w:tc>
        <w:tc>
          <w:tcPr>
            <w:tcW w:w="28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charitable contributions (except employee matches</w:t>
            </w:r>
          </w:p>
        </w:tc>
        <w:tc>
          <w:tcPr>
            <w:tcW w:w="23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vMerge w:val="restart"/>
          </w:tcPr>
          <w:p>
            <w:pPr>
              <w:ind w:left="60"/>
              <w:spacing w:after="0" w:line="181" w:lineRule="exact"/>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which will be direct billed)</w:t>
            </w:r>
          </w:p>
        </w:tc>
        <w:tc>
          <w:tcPr>
            <w:tcW w:w="2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00"/>
          </w:cols>
          <w:pgMar w:left="300" w:top="1093" w:right="299" w:bottom="1440" w:gutter="0" w:footer="0" w:header="0"/>
        </w:sectPr>
      </w:pPr>
    </w:p>
    <w:bookmarkStart w:id="236" w:name="page237"/>
    <w:bookmarkEnd w:id="236"/>
    <w:tbl>
      <w:tblPr>
        <w:tblLayout w:type="fixed"/>
        <w:tblInd w:w="10" w:type="dxa"/>
        <w:tblCellMar>
          <w:top w:w="0" w:type="dxa"/>
          <w:left w:w="0" w:type="dxa"/>
          <w:bottom w:w="0" w:type="dxa"/>
          <w:right w:w="0" w:type="dxa"/>
        </w:tblCellMar>
      </w:tblPr>
      <w:tr>
        <w:trPr>
          <w:trHeight w:val="230"/>
        </w:trPr>
        <w:tc>
          <w:tcPr>
            <w:tcW w:w="4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Genworth Chief</w:t>
            </w:r>
          </w:p>
        </w:tc>
        <w:tc>
          <w:tcPr>
            <w:tcW w:w="28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6"/>
              </w:rPr>
              <w:t>Provide management oversight and business support</w:t>
            </w:r>
          </w:p>
        </w:tc>
        <w:tc>
          <w:tcPr>
            <w:tcW w:w="23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3</w:t>
            </w: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9"/>
              </w:rPr>
              <w:t>from the Genworth CFO and business development</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line="174" w:lineRule="exact"/>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right w:val="single" w:sz="8" w:color="auto"/>
            </w:tcBorders>
            <w:vMerge w:val="continue"/>
          </w:tcPr>
          <w:p>
            <w:pPr>
              <w:spacing w:after="0"/>
              <w:rPr>
                <w:sz w:val="6"/>
                <w:szCs w:val="6"/>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Financial Officer</w:t>
            </w:r>
          </w:p>
        </w:tc>
        <w:tc>
          <w:tcPr>
            <w:tcW w:w="2820" w:type="dxa"/>
            <w:vAlign w:val="bottom"/>
            <w:tcBorders>
              <w:right w:val="single" w:sz="8" w:color="auto"/>
            </w:tcBorders>
            <w:vMerge w:val="continue"/>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function</w:t>
            </w: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vMerge w:val="continue"/>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w w:val="99"/>
              </w:rPr>
              <w:t>Financial Planning and</w:t>
            </w: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5"/>
              </w:rPr>
              <w:t>Provide support for reporting, budgeting &amp; forecasting,</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4</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Analysis and Rating</w:t>
            </w:r>
          </w:p>
        </w:tc>
        <w:tc>
          <w:tcPr>
            <w:tcW w:w="28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line="170" w:lineRule="exact"/>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and rating agency relationship management</w:t>
            </w:r>
          </w:p>
        </w:tc>
        <w:tc>
          <w:tcPr>
            <w:tcW w:w="23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Agency</w:t>
            </w:r>
          </w:p>
        </w:tc>
        <w:tc>
          <w:tcPr>
            <w:tcW w:w="28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5"/>
              </w:rPr>
              <w:t>Provide support related to the Company business as it</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5</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Investor Relations</w:t>
            </w:r>
          </w:p>
        </w:tc>
        <w:tc>
          <w:tcPr>
            <w:tcW w:w="28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relates investor relations</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42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ind w:left="40"/>
              <w:spacing w:after="0" w:line="117" w:lineRule="exact"/>
              <w:rPr>
                <w:sz w:val="20"/>
                <w:szCs w:val="20"/>
                <w:color w:val="auto"/>
              </w:rPr>
            </w:pPr>
            <w:r>
              <w:rPr>
                <w:rFonts w:ascii="Arial" w:cs="Arial" w:eastAsia="Arial" w:hAnsi="Arial"/>
                <w:sz w:val="12"/>
                <w:szCs w:val="12"/>
                <w:color w:val="auto"/>
              </w:rPr>
              <w:t>Provide support for financial regulatory filings and</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calculations</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6</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Financial Reporting</w:t>
            </w:r>
          </w:p>
        </w:tc>
        <w:tc>
          <w:tcPr>
            <w:tcW w:w="2820" w:type="dxa"/>
            <w:vAlign w:val="bottom"/>
            <w:tcBorders>
              <w:right w:val="single" w:sz="8" w:color="auto"/>
            </w:tcBorders>
          </w:tcPr>
          <w:p>
            <w:pPr>
              <w:ind w:left="540"/>
              <w:spacing w:after="0" w:line="124" w:lineRule="exact"/>
              <w:rPr>
                <w:sz w:val="20"/>
                <w:szCs w:val="20"/>
                <w:color w:val="auto"/>
              </w:rPr>
            </w:pPr>
            <w:r>
              <w:rPr>
                <w:rFonts w:ascii="Arial" w:cs="Arial" w:eastAsia="Arial" w:hAnsi="Arial"/>
                <w:sz w:val="12"/>
                <w:szCs w:val="12"/>
                <w:color w:val="auto"/>
              </w:rPr>
              <w:t>•   Provide limited review support in the</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2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tcPr>
          <w:p>
            <w:pPr>
              <w:ind w:left="780"/>
              <w:spacing w:after="0" w:line="120" w:lineRule="exact"/>
              <w:rPr>
                <w:sz w:val="20"/>
                <w:szCs w:val="20"/>
                <w:color w:val="auto"/>
              </w:rPr>
            </w:pPr>
            <w:r>
              <w:rPr>
                <w:rFonts w:ascii="Arial" w:cs="Arial" w:eastAsia="Arial" w:hAnsi="Arial"/>
                <w:sz w:val="12"/>
                <w:szCs w:val="12"/>
                <w:color w:val="auto"/>
              </w:rPr>
              <w:t>areas of XBRL, SEC filings, 10Ks,</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780"/>
              <w:spacing w:after="0"/>
              <w:rPr>
                <w:sz w:val="20"/>
                <w:szCs w:val="20"/>
                <w:color w:val="auto"/>
              </w:rPr>
            </w:pPr>
            <w:r>
              <w:rPr>
                <w:rFonts w:ascii="Arial" w:cs="Arial" w:eastAsia="Arial" w:hAnsi="Arial"/>
                <w:sz w:val="12"/>
                <w:szCs w:val="12"/>
                <w:color w:val="auto"/>
              </w:rPr>
              <w:t>10Qs, QFS etc.</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Borders>
              <w:left w:val="single" w:sz="8" w:color="auto"/>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Provide HQ SEC and financial reporting assistance</w:t>
            </w:r>
          </w:p>
        </w:tc>
        <w:tc>
          <w:tcPr>
            <w:tcW w:w="232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Provide oversight and access to their external auditor</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External Audit</w:t>
            </w: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9"/>
              </w:rPr>
              <w:t>(currently KPMG). The auditor will provide oversight</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7</w:t>
            </w: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and management services in the areas of SEC &amp;</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vMerge w:val="restart"/>
          </w:tcPr>
          <w:p>
            <w:pPr>
              <w:jc w:val="right"/>
              <w:ind w:right="1578"/>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86"/>
        </w:trPr>
        <w:tc>
          <w:tcPr>
            <w:tcW w:w="420" w:type="dxa"/>
            <w:vAlign w:val="bottom"/>
            <w:tcBorders>
              <w:left w:val="single" w:sz="8" w:color="auto"/>
              <w:right w:val="single" w:sz="8" w:color="auto"/>
            </w:tcBorders>
            <w:vMerge w:val="continue"/>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Engagement</w:t>
            </w:r>
          </w:p>
        </w:tc>
        <w:tc>
          <w:tcPr>
            <w:tcW w:w="28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financial reporting while Company remains majority</w:t>
            </w:r>
          </w:p>
        </w:tc>
        <w:tc>
          <w:tcPr>
            <w:tcW w:w="23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vMerge w:val="restart"/>
          </w:tcPr>
          <w:p>
            <w:pPr>
              <w:ind w:left="60"/>
              <w:spacing w:after="0" w:line="181" w:lineRule="exact"/>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owned by Genworth.</w:t>
            </w:r>
          </w:p>
        </w:tc>
        <w:tc>
          <w:tcPr>
            <w:tcW w:w="2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Provide access to and the use of the Genworth</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8</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Internal Audit (GCAS)</w:t>
            </w:r>
          </w:p>
        </w:tc>
        <w:tc>
          <w:tcPr>
            <w:tcW w:w="28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Corporate Audit Staff.</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42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2"/>
              </w:rPr>
              <w:t>Provide management services related to the company’s</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9</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SOX - HQ SOX PMO</w:t>
            </w:r>
          </w:p>
        </w:tc>
        <w:tc>
          <w:tcPr>
            <w:tcW w:w="28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SOX compliance program.</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42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00"/>
          </w:cols>
          <w:pgMar w:left="300" w:top="1125" w:right="299" w:bottom="1440" w:gutter="0" w:footer="0" w:header="0"/>
        </w:sectPr>
      </w:pPr>
    </w:p>
    <w:bookmarkStart w:id="237" w:name="page238"/>
    <w:bookmarkEnd w:id="237"/>
    <w:tbl>
      <w:tblPr>
        <w:tblLayout w:type="fixed"/>
        <w:tblInd w:w="10" w:type="dxa"/>
        <w:tblCellMar>
          <w:top w:w="0" w:type="dxa"/>
          <w:left w:w="0" w:type="dxa"/>
          <w:bottom w:w="0" w:type="dxa"/>
          <w:right w:w="0" w:type="dxa"/>
        </w:tblCellMar>
      </w:tblPr>
      <w:tr>
        <w:trPr>
          <w:trHeight w:val="230"/>
        </w:trPr>
        <w:tc>
          <w:tcPr>
            <w:tcW w:w="4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28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Provide support for tax planning and strategy,</w:t>
            </w:r>
          </w:p>
        </w:tc>
        <w:tc>
          <w:tcPr>
            <w:tcW w:w="23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0" w:type="dxa"/>
            <w:vAlign w:val="bottom"/>
            <w:tcBorders>
              <w:left w:val="single" w:sz="8" w:color="auto"/>
              <w:right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10</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Tax</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accounting, reporting, tax returns, Sales and Use tax,</w:t>
            </w:r>
          </w:p>
        </w:tc>
        <w:tc>
          <w:tcPr>
            <w:tcW w:w="23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and HQ support</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Provide access to Genworth’s external audit partner</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(currently KPMG). The audit partner will provide</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0" w:type="dxa"/>
            <w:vAlign w:val="bottom"/>
            <w:tcBorders>
              <w:left w:val="single" w:sz="8" w:color="auto"/>
              <w:right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11</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Tax</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services related to tax oversight and management so</w:t>
            </w:r>
          </w:p>
        </w:tc>
        <w:tc>
          <w:tcPr>
            <w:tcW w:w="23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jc w:val="right"/>
              <w:ind w:right="1518"/>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81"/>
        </w:trPr>
        <w:tc>
          <w:tcPr>
            <w:tcW w:w="42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long as Company remains majority owned by</w:t>
            </w:r>
          </w:p>
        </w:tc>
        <w:tc>
          <w:tcPr>
            <w:tcW w:w="23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Genworth.</w:t>
            </w:r>
          </w:p>
        </w:tc>
        <w:tc>
          <w:tcPr>
            <w:tcW w:w="2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Human Resource</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Provide finance and accounting support related to</w:t>
            </w:r>
          </w:p>
        </w:tc>
        <w:tc>
          <w:tcPr>
            <w:tcW w:w="23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ind w:left="60"/>
              <w:spacing w:after="0" w:line="165" w:lineRule="exact"/>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20" w:type="dxa"/>
            <w:vAlign w:val="bottom"/>
            <w:tcBorders>
              <w:left w:val="single" w:sz="8" w:color="auto"/>
              <w:right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12</w:t>
            </w:r>
          </w:p>
        </w:tc>
        <w:tc>
          <w:tcPr>
            <w:tcW w:w="138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human resources</w:t>
            </w:r>
          </w:p>
        </w:tc>
        <w:tc>
          <w:tcPr>
            <w:tcW w:w="23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Accounting</w:t>
            </w:r>
          </w:p>
        </w:tc>
        <w:tc>
          <w:tcPr>
            <w:tcW w:w="2820" w:type="dxa"/>
            <w:vAlign w:val="bottom"/>
            <w:tcBorders>
              <w:right w:val="single" w:sz="8" w:color="auto"/>
            </w:tcBorders>
          </w:tcPr>
          <w:p>
            <w:pPr>
              <w:ind w:left="540"/>
              <w:spacing w:after="0" w:line="92" w:lineRule="exact"/>
              <w:rPr>
                <w:sz w:val="20"/>
                <w:szCs w:val="20"/>
                <w:color w:val="auto"/>
              </w:rPr>
            </w:pPr>
            <w:r>
              <w:rPr>
                <w:rFonts w:ascii="Arial" w:cs="Arial" w:eastAsia="Arial" w:hAnsi="Arial"/>
                <w:sz w:val="10"/>
                <w:szCs w:val="10"/>
                <w:color w:val="auto"/>
              </w:rPr>
              <w:t>•   Provide support for the accounting and</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tcPr>
          <w:p>
            <w:pPr>
              <w:ind w:left="780"/>
              <w:spacing w:after="0" w:line="117" w:lineRule="exact"/>
              <w:rPr>
                <w:sz w:val="20"/>
                <w:szCs w:val="20"/>
                <w:color w:val="auto"/>
              </w:rPr>
            </w:pPr>
            <w:r>
              <w:rPr>
                <w:rFonts w:ascii="Arial" w:cs="Arial" w:eastAsia="Arial" w:hAnsi="Arial"/>
                <w:sz w:val="12"/>
                <w:szCs w:val="12"/>
                <w:color w:val="auto"/>
              </w:rPr>
              <w:t>reporting for employee benefits.</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Provide access to the HR controllership team.</w:t>
            </w:r>
          </w:p>
        </w:tc>
        <w:tc>
          <w:tcPr>
            <w:tcW w:w="2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vMerge w:val="continue"/>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w w:val="94"/>
              </w:rPr>
              <w:t>Accounting Compliance</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3"/>
              </w:rPr>
              <w:t>Provide support for general ledger accounting and use,</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20" w:type="dxa"/>
            <w:vAlign w:val="bottom"/>
            <w:tcBorders>
              <w:left w:val="single" w:sz="8" w:color="auto"/>
              <w:right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13</w:t>
            </w:r>
          </w:p>
        </w:tc>
        <w:tc>
          <w:tcPr>
            <w:tcW w:w="1380" w:type="dxa"/>
            <w:vAlign w:val="bottom"/>
            <w:tcBorders>
              <w:right w:val="single" w:sz="8" w:color="auto"/>
            </w:tcBorders>
            <w:vMerge w:val="continue"/>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4"/>
              </w:rPr>
              <w:t>including coordinating and executing the monthly close</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2"/>
                <w:szCs w:val="12"/>
                <w:b w:val="1"/>
                <w:bCs w:val="1"/>
                <w:color w:val="auto"/>
              </w:rPr>
              <w:t>&amp; Reporting</w:t>
            </w: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process, and account reconciliations.</w:t>
            </w:r>
          </w:p>
        </w:tc>
        <w:tc>
          <w:tcPr>
            <w:tcW w:w="23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20" w:type="dxa"/>
            <w:vAlign w:val="bottom"/>
            <w:tcBorders>
              <w:left w:val="single" w:sz="8" w:color="auto"/>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2820" w:type="dxa"/>
            <w:vAlign w:val="bottom"/>
            <w:tcBorders>
              <w:right w:val="single" w:sz="8" w:color="auto"/>
            </w:tcBorders>
            <w:vMerge w:val="continue"/>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Technical Accounting</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Provide access to the Technical Accounting Group</w:t>
            </w:r>
          </w:p>
        </w:tc>
        <w:tc>
          <w:tcPr>
            <w:tcW w:w="23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ind w:left="60"/>
              <w:spacing w:after="0" w:line="165" w:lineRule="exact"/>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right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14</w:t>
            </w:r>
          </w:p>
        </w:tc>
        <w:tc>
          <w:tcPr>
            <w:tcW w:w="1380" w:type="dxa"/>
            <w:vAlign w:val="bottom"/>
            <w:tcBorders>
              <w:right w:val="single" w:sz="8" w:color="auto"/>
            </w:tcBorders>
            <w:vMerge w:val="continue"/>
          </w:tcPr>
          <w:p>
            <w:pPr>
              <w:spacing w:after="0"/>
              <w:rPr>
                <w:sz w:val="12"/>
                <w:szCs w:val="12"/>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(TAG). The group will provide services related to</w:t>
            </w:r>
          </w:p>
        </w:tc>
        <w:tc>
          <w:tcPr>
            <w:tcW w:w="23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2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Group (TAG)</w:t>
            </w: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8"/>
              </w:rPr>
              <w:t>technical accounting, research, and new U.S. GAAP</w:t>
            </w:r>
          </w:p>
        </w:tc>
        <w:tc>
          <w:tcPr>
            <w:tcW w:w="23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2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accounting guidance.</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ind w:left="40"/>
              <w:spacing w:after="0" w:line="117" w:lineRule="exact"/>
              <w:rPr>
                <w:sz w:val="20"/>
                <w:szCs w:val="20"/>
                <w:color w:val="auto"/>
              </w:rPr>
            </w:pPr>
            <w:r>
              <w:rPr>
                <w:rFonts w:ascii="Arial" w:cs="Arial" w:eastAsia="Arial" w:hAnsi="Arial"/>
                <w:sz w:val="12"/>
                <w:szCs w:val="12"/>
                <w:color w:val="auto"/>
                <w:w w:val="97"/>
              </w:rPr>
              <w:t>Provide the company with operational and consulting</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1"/>
              </w:rPr>
              <w:t>process changes for bank accounts and related services</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including</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right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15</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2820" w:type="dxa"/>
            <w:vAlign w:val="bottom"/>
            <w:tcBorders>
              <w:right w:val="single" w:sz="8" w:color="auto"/>
            </w:tcBorders>
          </w:tcPr>
          <w:p>
            <w:pPr>
              <w:ind w:left="540"/>
              <w:spacing w:after="0" w:line="124" w:lineRule="exact"/>
              <w:rPr>
                <w:sz w:val="20"/>
                <w:szCs w:val="20"/>
                <w:color w:val="auto"/>
              </w:rPr>
            </w:pPr>
            <w:r>
              <w:rPr>
                <w:rFonts w:ascii="Arial" w:cs="Arial" w:eastAsia="Arial" w:hAnsi="Arial"/>
                <w:sz w:val="12"/>
                <w:szCs w:val="12"/>
                <w:color w:val="auto"/>
              </w:rPr>
              <w:t>•   Maintaining banking relationships,</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2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tcPr>
          <w:p>
            <w:pPr>
              <w:ind w:left="780"/>
              <w:spacing w:after="0" w:line="120" w:lineRule="exact"/>
              <w:rPr>
                <w:sz w:val="20"/>
                <w:szCs w:val="20"/>
                <w:color w:val="auto"/>
              </w:rPr>
            </w:pPr>
            <w:r>
              <w:rPr>
                <w:rFonts w:ascii="Arial" w:cs="Arial" w:eastAsia="Arial" w:hAnsi="Arial"/>
                <w:sz w:val="12"/>
                <w:szCs w:val="12"/>
                <w:color w:val="auto"/>
                <w:w w:val="97"/>
              </w:rPr>
              <w:t>account management, managing state</w:t>
            </w:r>
          </w:p>
        </w:tc>
        <w:tc>
          <w:tcPr>
            <w:tcW w:w="23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780"/>
              <w:spacing w:after="0"/>
              <w:rPr>
                <w:sz w:val="20"/>
                <w:szCs w:val="20"/>
                <w:color w:val="auto"/>
              </w:rPr>
            </w:pPr>
            <w:r>
              <w:rPr>
                <w:rFonts w:ascii="Arial" w:cs="Arial" w:eastAsia="Arial" w:hAnsi="Arial"/>
                <w:sz w:val="12"/>
                <w:szCs w:val="12"/>
                <w:color w:val="auto"/>
                <w:w w:val="97"/>
              </w:rPr>
              <w:t>deposits, executing wire transfers, and</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20" w:type="dxa"/>
            <w:vAlign w:val="bottom"/>
            <w:tcBorders>
              <w:left w:val="single" w:sz="8" w:color="auto"/>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tcPr>
          <w:p>
            <w:pPr>
              <w:ind w:left="780"/>
              <w:spacing w:after="0" w:line="96" w:lineRule="exact"/>
              <w:rPr>
                <w:sz w:val="20"/>
                <w:szCs w:val="20"/>
                <w:color w:val="auto"/>
              </w:rPr>
            </w:pPr>
            <w:r>
              <w:rPr>
                <w:rFonts w:ascii="Arial" w:cs="Arial" w:eastAsia="Arial" w:hAnsi="Arial"/>
                <w:sz w:val="11"/>
                <w:szCs w:val="11"/>
                <w:color w:val="auto"/>
              </w:rPr>
              <w:t>bonds transfers as needed.</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Provide treasury and cash management support.</w:t>
            </w:r>
          </w:p>
        </w:tc>
        <w:tc>
          <w:tcPr>
            <w:tcW w:w="2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00"/>
          </w:cols>
          <w:pgMar w:left="300" w:top="1125" w:right="299" w:bottom="1440" w:gutter="0" w:footer="0" w:header="0"/>
        </w:sectPr>
      </w:pPr>
    </w:p>
    <w:bookmarkStart w:id="238" w:name="page239"/>
    <w:bookmarkEnd w:id="238"/>
    <w:tbl>
      <w:tblPr>
        <w:tblLayout w:type="fixed"/>
        <w:tblInd w:w="10" w:type="dxa"/>
        <w:tblCellMar>
          <w:top w:w="0" w:type="dxa"/>
          <w:left w:w="0" w:type="dxa"/>
          <w:bottom w:w="0" w:type="dxa"/>
          <w:right w:w="0" w:type="dxa"/>
        </w:tblCellMar>
      </w:tblPr>
      <w:tr>
        <w:trPr>
          <w:trHeight w:val="230"/>
        </w:trPr>
        <w:tc>
          <w:tcPr>
            <w:tcW w:w="4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28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9"/>
              </w:rPr>
              <w:t>Provide access to Genworth’s external audit partner</w:t>
            </w:r>
          </w:p>
        </w:tc>
        <w:tc>
          <w:tcPr>
            <w:tcW w:w="23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0" w:type="dxa"/>
            <w:vAlign w:val="bottom"/>
            <w:tcBorders>
              <w:left w:val="single" w:sz="8" w:color="auto"/>
              <w:right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16</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Treasury</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(currently KPMG). The audit partner will provide</w:t>
            </w:r>
          </w:p>
        </w:tc>
        <w:tc>
          <w:tcPr>
            <w:tcW w:w="23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jc w:val="right"/>
              <w:ind w:right="1518"/>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treasury and cash management support.</w:t>
            </w: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0" w:type="dxa"/>
            <w:vAlign w:val="bottom"/>
            <w:tcBorders>
              <w:left w:val="single" w:sz="8" w:color="auto"/>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4"/>
              </w:rPr>
              <w:t>Provide assistance and consultations on all real estate</w:t>
            </w:r>
          </w:p>
        </w:tc>
        <w:tc>
          <w:tcPr>
            <w:tcW w:w="2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Calculated in</w:t>
            </w: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right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17</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28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COH</w:t>
            </w: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accordance with</w:t>
            </w: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services and transactions.</w:t>
            </w:r>
          </w:p>
        </w:tc>
        <w:tc>
          <w:tcPr>
            <w:tcW w:w="2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42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historical practice</w:t>
            </w:r>
          </w:p>
        </w:tc>
        <w:tc>
          <w:tcPr>
            <w:tcW w:w="1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00"/>
          </w:cols>
          <w:pgMar w:left="300" w:top="1125" w:right="29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Corporate Insurance</w:t>
            </w:r>
          </w:p>
        </w:tc>
        <w:tc>
          <w:tcPr>
            <w:tcW w:w="4080" w:type="dxa"/>
            <w:vAlign w:val="bottom"/>
            <w:gridSpan w:val="2"/>
          </w:tcPr>
          <w:p>
            <w:pPr>
              <w:ind w:left="140"/>
              <w:spacing w:after="0"/>
              <w:rPr>
                <w:sz w:val="20"/>
                <w:szCs w:val="20"/>
                <w:color w:val="auto"/>
              </w:rPr>
            </w:pPr>
            <w:r>
              <w:rPr>
                <w:rFonts w:ascii="Arial" w:cs="Arial" w:eastAsia="Arial" w:hAnsi="Arial"/>
                <w:sz w:val="12"/>
                <w:szCs w:val="12"/>
                <w:color w:val="auto"/>
              </w:rPr>
              <w:t>Provide access to administration and coverage under</w:t>
            </w:r>
          </w:p>
        </w:tc>
        <w:tc>
          <w:tcPr>
            <w:tcW w:w="1900" w:type="dxa"/>
            <w:vAlign w:val="bottom"/>
          </w:tcPr>
          <w:p>
            <w:pPr>
              <w:spacing w:after="0"/>
              <w:rPr>
                <w:sz w:val="17"/>
                <w:szCs w:val="17"/>
                <w:color w:val="auto"/>
              </w:rPr>
            </w:pPr>
          </w:p>
        </w:tc>
        <w:tc>
          <w:tcPr>
            <w:tcW w:w="3620" w:type="dxa"/>
            <w:vAlign w:val="bottom"/>
          </w:tcPr>
          <w:p>
            <w:pPr>
              <w:ind w:left="440"/>
              <w:spacing w:after="0"/>
              <w:rPr>
                <w:sz w:val="20"/>
                <w:szCs w:val="20"/>
                <w:color w:val="auto"/>
              </w:rPr>
            </w:pPr>
            <w:r>
              <w:rPr>
                <w:rFonts w:ascii="Arial" w:cs="Arial" w:eastAsia="Arial" w:hAnsi="Arial"/>
                <w:sz w:val="16"/>
                <w:szCs w:val="16"/>
                <w:color w:val="auto"/>
              </w:rPr>
              <w:t>Calculated in</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18</w:t>
            </w:r>
          </w:p>
        </w:tc>
        <w:tc>
          <w:tcPr>
            <w:tcW w:w="1340" w:type="dxa"/>
            <w:vAlign w:val="bottom"/>
            <w:vMerge w:val="continue"/>
          </w:tcPr>
          <w:p>
            <w:pPr>
              <w:spacing w:after="0"/>
              <w:rPr>
                <w:sz w:val="8"/>
                <w:szCs w:val="8"/>
                <w:color w:val="auto"/>
              </w:rPr>
            </w:pPr>
          </w:p>
        </w:tc>
        <w:tc>
          <w:tcPr>
            <w:tcW w:w="4080" w:type="dxa"/>
            <w:vAlign w:val="bottom"/>
            <w:gridSpan w:val="2"/>
            <w:vMerge w:val="restart"/>
          </w:tcPr>
          <w:p>
            <w:pPr>
              <w:ind w:left="140"/>
              <w:spacing w:after="0"/>
              <w:rPr>
                <w:sz w:val="20"/>
                <w:szCs w:val="20"/>
                <w:color w:val="auto"/>
              </w:rPr>
            </w:pPr>
            <w:r>
              <w:rPr>
                <w:rFonts w:ascii="Arial" w:cs="Arial" w:eastAsia="Arial" w:hAnsi="Arial"/>
                <w:sz w:val="12"/>
                <w:szCs w:val="12"/>
                <w:color w:val="auto"/>
              </w:rPr>
              <w:t>corporate insurance programs including E&amp;O and P&amp;C</w:t>
            </w:r>
          </w:p>
        </w:tc>
        <w:tc>
          <w:tcPr>
            <w:tcW w:w="1900" w:type="dxa"/>
            <w:vAlign w:val="bottom"/>
            <w:vMerge w:val="restart"/>
          </w:tcPr>
          <w:p>
            <w:pPr>
              <w:ind w:left="1220"/>
              <w:spacing w:after="0"/>
              <w:rPr>
                <w:sz w:val="20"/>
                <w:szCs w:val="20"/>
                <w:color w:val="auto"/>
              </w:rPr>
            </w:pPr>
            <w:r>
              <w:rPr>
                <w:rFonts w:ascii="Arial" w:cs="Arial" w:eastAsia="Arial" w:hAnsi="Arial"/>
                <w:sz w:val="12"/>
                <w:szCs w:val="12"/>
                <w:color w:val="auto"/>
              </w:rPr>
              <w:t>COH</w:t>
            </w:r>
          </w:p>
        </w:tc>
        <w:tc>
          <w:tcPr>
            <w:tcW w:w="3620" w:type="dxa"/>
            <w:vAlign w:val="bottom"/>
            <w:vMerge w:val="restart"/>
          </w:tcPr>
          <w:p>
            <w:pPr>
              <w:ind w:left="440"/>
              <w:spacing w:after="0" w:line="174" w:lineRule="exact"/>
              <w:rPr>
                <w:sz w:val="20"/>
                <w:szCs w:val="20"/>
                <w:color w:val="auto"/>
              </w:rPr>
            </w:pPr>
            <w:r>
              <w:rPr>
                <w:rFonts w:ascii="Arial" w:cs="Arial" w:eastAsia="Arial" w:hAnsi="Arial"/>
                <w:sz w:val="16"/>
                <w:szCs w:val="16"/>
                <w:color w:val="auto"/>
              </w:rPr>
              <w:t>accordance with</w:t>
            </w:r>
          </w:p>
        </w:tc>
        <w:tc>
          <w:tcPr>
            <w:tcW w:w="0" w:type="dxa"/>
            <w:vAlign w:val="bottom"/>
          </w:tcPr>
          <w:p>
            <w:pPr>
              <w:spacing w:after="0"/>
              <w:rPr>
                <w:sz w:val="1"/>
                <w:szCs w:val="1"/>
                <w:color w:val="auto"/>
              </w:rPr>
            </w:pPr>
          </w:p>
        </w:tc>
      </w:tr>
      <w:tr>
        <w:trPr>
          <w:trHeight w:val="76"/>
        </w:trPr>
        <w:tc>
          <w:tcPr>
            <w:tcW w:w="36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Program</w:t>
            </w:r>
          </w:p>
        </w:tc>
        <w:tc>
          <w:tcPr>
            <w:tcW w:w="4080" w:type="dxa"/>
            <w:vAlign w:val="bottom"/>
            <w:gridSpan w:val="2"/>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080" w:type="dxa"/>
            <w:vAlign w:val="bottom"/>
            <w:gridSpan w:val="2"/>
            <w:vMerge w:val="restart"/>
          </w:tcPr>
          <w:p>
            <w:pPr>
              <w:ind w:left="140"/>
              <w:spacing w:after="0"/>
              <w:rPr>
                <w:sz w:val="20"/>
                <w:szCs w:val="20"/>
                <w:color w:val="auto"/>
              </w:rPr>
            </w:pPr>
            <w:r>
              <w:rPr>
                <w:rFonts w:ascii="Arial" w:cs="Arial" w:eastAsia="Arial" w:hAnsi="Arial"/>
                <w:sz w:val="12"/>
                <w:szCs w:val="12"/>
                <w:color w:val="auto"/>
              </w:rPr>
              <w:t>insurance.</w:t>
            </w:r>
          </w:p>
        </w:tc>
        <w:tc>
          <w:tcPr>
            <w:tcW w:w="1900" w:type="dxa"/>
            <w:vAlign w:val="bottom"/>
          </w:tcPr>
          <w:p>
            <w:pPr>
              <w:spacing w:after="0"/>
              <w:rPr>
                <w:sz w:val="7"/>
                <w:szCs w:val="7"/>
                <w:color w:val="auto"/>
              </w:rPr>
            </w:pPr>
          </w:p>
        </w:tc>
        <w:tc>
          <w:tcPr>
            <w:tcW w:w="3620" w:type="dxa"/>
            <w:vAlign w:val="bottom"/>
            <w:vMerge w:val="restart"/>
          </w:tcPr>
          <w:p>
            <w:pPr>
              <w:ind w:left="440"/>
              <w:spacing w:after="0"/>
              <w:rPr>
                <w:sz w:val="20"/>
                <w:szCs w:val="20"/>
                <w:color w:val="auto"/>
              </w:rPr>
            </w:pPr>
            <w:r>
              <w:rPr>
                <w:rFonts w:ascii="Arial" w:cs="Arial" w:eastAsia="Arial" w:hAnsi="Arial"/>
                <w:sz w:val="16"/>
                <w:szCs w:val="16"/>
                <w:color w:val="auto"/>
              </w:rPr>
              <w:t>historical practice</w:t>
            </w:r>
          </w:p>
        </w:tc>
        <w:tc>
          <w:tcPr>
            <w:tcW w:w="0" w:type="dxa"/>
            <w:vAlign w:val="bottom"/>
          </w:tcPr>
          <w:p>
            <w:pPr>
              <w:spacing w:after="0"/>
              <w:rPr>
                <w:sz w:val="1"/>
                <w:szCs w:val="1"/>
                <w:color w:val="auto"/>
              </w:rPr>
            </w:pPr>
          </w:p>
        </w:tc>
      </w:tr>
      <w:tr>
        <w:trPr>
          <w:trHeight w:val="72"/>
        </w:trPr>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80" w:type="dxa"/>
            <w:vAlign w:val="bottom"/>
            <w:gridSpan w:val="2"/>
            <w:vMerge w:val="continue"/>
          </w:tcPr>
          <w:p>
            <w:pPr>
              <w:spacing w:after="0"/>
              <w:rPr>
                <w:sz w:val="6"/>
                <w:szCs w:val="6"/>
                <w:color w:val="auto"/>
              </w:rPr>
            </w:pPr>
          </w:p>
        </w:tc>
        <w:tc>
          <w:tcPr>
            <w:tcW w:w="1900" w:type="dxa"/>
            <w:vAlign w:val="bottom"/>
          </w:tcPr>
          <w:p>
            <w:pPr>
              <w:spacing w:after="0"/>
              <w:rPr>
                <w:sz w:val="6"/>
                <w:szCs w:val="6"/>
                <w:color w:val="auto"/>
              </w:rPr>
            </w:pP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8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Provide support for the following shared services:</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ind w:left="380"/>
              <w:spacing w:after="0" w:line="124" w:lineRule="exact"/>
              <w:rPr>
                <w:sz w:val="20"/>
                <w:szCs w:val="20"/>
                <w:color w:val="auto"/>
              </w:rPr>
            </w:pPr>
            <w:r>
              <w:rPr>
                <w:rFonts w:ascii="Arial" w:cs="Arial" w:eastAsia="Arial" w:hAnsi="Arial"/>
                <w:sz w:val="12"/>
                <w:szCs w:val="12"/>
                <w:color w:val="auto"/>
              </w:rPr>
              <w:t>•</w:t>
            </w: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Accounting and reporting for general</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expenses and inter-company expense</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accounting</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Accounting and reporting for leases</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ind w:left="380"/>
              <w:spacing w:after="0" w:line="124" w:lineRule="exact"/>
              <w:rPr>
                <w:sz w:val="20"/>
                <w:szCs w:val="20"/>
                <w:color w:val="auto"/>
              </w:rPr>
            </w:pPr>
            <w:r>
              <w:rPr>
                <w:rFonts w:ascii="Arial" w:cs="Arial" w:eastAsia="Arial" w:hAnsi="Arial"/>
                <w:sz w:val="12"/>
                <w:szCs w:val="12"/>
                <w:color w:val="auto"/>
              </w:rPr>
              <w:t>•</w:t>
            </w: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Annual 1099 reporting required by the IRS</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and related accounts payable</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Purchase order &amp; invoice processing, and</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accounting and reporting for accounts</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payable (PO and Invoices)</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Distribution of funds out of Genworth cash</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accounts for shared service accounting.</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Set-up and maintenance of all suppliers</w:t>
            </w:r>
          </w:p>
        </w:tc>
        <w:tc>
          <w:tcPr>
            <w:tcW w:w="1900" w:type="dxa"/>
            <w:vAlign w:val="bottom"/>
          </w:tcPr>
          <w:p>
            <w:pPr>
              <w:spacing w:after="0"/>
              <w:rPr>
                <w:sz w:val="10"/>
                <w:szCs w:val="10"/>
                <w:color w:val="auto"/>
              </w:rPr>
            </w:pPr>
          </w:p>
        </w:tc>
        <w:tc>
          <w:tcPr>
            <w:tcW w:w="3620" w:type="dxa"/>
            <w:vAlign w:val="bottom"/>
            <w:vMerge w:val="restart"/>
          </w:tcPr>
          <w:p>
            <w:pPr>
              <w:ind w:left="440"/>
              <w:spacing w:after="0"/>
              <w:rPr>
                <w:sz w:val="20"/>
                <w:szCs w:val="20"/>
                <w:color w:val="auto"/>
              </w:rPr>
            </w:pPr>
            <w:r>
              <w:rPr>
                <w:rFonts w:ascii="Arial" w:cs="Arial" w:eastAsia="Arial" w:hAnsi="Arial"/>
                <w:sz w:val="16"/>
                <w:szCs w:val="16"/>
                <w:color w:val="auto"/>
              </w:rPr>
              <w:t>Calculated in</w:t>
            </w: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Shared Service</w:t>
            </w: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related to purchase to pay activities in</w:t>
            </w:r>
          </w:p>
        </w:tc>
        <w:tc>
          <w:tcPr>
            <w:tcW w:w="19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19</w:t>
            </w:r>
          </w:p>
        </w:tc>
        <w:tc>
          <w:tcPr>
            <w:tcW w:w="13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Genworth’s enterprise financial system</w:t>
            </w:r>
          </w:p>
        </w:tc>
        <w:tc>
          <w:tcPr>
            <w:tcW w:w="1900" w:type="dxa"/>
            <w:vAlign w:val="bottom"/>
            <w:vMerge w:val="restart"/>
          </w:tcPr>
          <w:p>
            <w:pPr>
              <w:ind w:left="1220"/>
              <w:spacing w:after="0"/>
              <w:rPr>
                <w:sz w:val="20"/>
                <w:szCs w:val="20"/>
                <w:color w:val="auto"/>
              </w:rPr>
            </w:pPr>
            <w:r>
              <w:rPr>
                <w:rFonts w:ascii="Arial" w:cs="Arial" w:eastAsia="Arial" w:hAnsi="Arial"/>
                <w:sz w:val="12"/>
                <w:szCs w:val="12"/>
                <w:color w:val="auto"/>
              </w:rPr>
              <w:t>COH</w:t>
            </w:r>
          </w:p>
        </w:tc>
        <w:tc>
          <w:tcPr>
            <w:tcW w:w="3620" w:type="dxa"/>
            <w:vAlign w:val="bottom"/>
            <w:vMerge w:val="restart"/>
          </w:tcPr>
          <w:p>
            <w:pPr>
              <w:ind w:left="440"/>
              <w:spacing w:after="0"/>
              <w:rPr>
                <w:sz w:val="20"/>
                <w:szCs w:val="20"/>
                <w:color w:val="auto"/>
              </w:rPr>
            </w:pPr>
            <w:r>
              <w:rPr>
                <w:rFonts w:ascii="Arial" w:cs="Arial" w:eastAsia="Arial" w:hAnsi="Arial"/>
                <w:sz w:val="16"/>
                <w:szCs w:val="16"/>
                <w:color w:val="auto"/>
              </w:rPr>
              <w:t>accordance with</w:t>
            </w:r>
          </w:p>
        </w:tc>
        <w:tc>
          <w:tcPr>
            <w:tcW w:w="0" w:type="dxa"/>
            <w:vAlign w:val="bottom"/>
          </w:tcPr>
          <w:p>
            <w:pPr>
              <w:spacing w:after="0"/>
              <w:rPr>
                <w:sz w:val="1"/>
                <w:szCs w:val="1"/>
                <w:color w:val="auto"/>
              </w:rPr>
            </w:pPr>
          </w:p>
        </w:tc>
      </w:tr>
      <w:tr>
        <w:trPr>
          <w:trHeight w:val="130"/>
        </w:trPr>
        <w:tc>
          <w:tcPr>
            <w:tcW w:w="360" w:type="dxa"/>
            <w:vAlign w:val="bottom"/>
            <w:vMerge w:val="continue"/>
          </w:tcPr>
          <w:p>
            <w:pPr>
              <w:spacing w:after="0"/>
              <w:rPr>
                <w:sz w:val="11"/>
                <w:szCs w:val="11"/>
                <w:color w:val="auto"/>
              </w:rPr>
            </w:pPr>
          </w:p>
        </w:tc>
        <w:tc>
          <w:tcPr>
            <w:tcW w:w="13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Accounting</w:t>
            </w:r>
          </w:p>
        </w:tc>
        <w:tc>
          <w:tcPr>
            <w:tcW w:w="520" w:type="dxa"/>
            <w:vAlign w:val="bottom"/>
          </w:tcPr>
          <w:p>
            <w:pPr>
              <w:ind w:left="380"/>
              <w:spacing w:after="0" w:line="130" w:lineRule="exact"/>
              <w:rPr>
                <w:sz w:val="20"/>
                <w:szCs w:val="20"/>
                <w:color w:val="auto"/>
              </w:rPr>
            </w:pPr>
            <w:r>
              <w:rPr>
                <w:rFonts w:ascii="Arial" w:cs="Arial" w:eastAsia="Arial" w:hAnsi="Arial"/>
                <w:sz w:val="12"/>
                <w:szCs w:val="12"/>
                <w:color w:val="auto"/>
              </w:rPr>
              <w:t>•</w:t>
            </w:r>
          </w:p>
        </w:tc>
        <w:tc>
          <w:tcPr>
            <w:tcW w:w="3560" w:type="dxa"/>
            <w:vAlign w:val="bottom"/>
          </w:tcPr>
          <w:p>
            <w:pPr>
              <w:ind w:left="100"/>
              <w:spacing w:after="0" w:line="130" w:lineRule="exact"/>
              <w:rPr>
                <w:sz w:val="20"/>
                <w:szCs w:val="20"/>
                <w:color w:val="auto"/>
              </w:rPr>
            </w:pPr>
            <w:r>
              <w:rPr>
                <w:rFonts w:ascii="Arial" w:cs="Arial" w:eastAsia="Arial" w:hAnsi="Arial"/>
                <w:sz w:val="12"/>
                <w:szCs w:val="12"/>
                <w:color w:val="auto"/>
              </w:rPr>
              <w:t>Accounting/reporting for all fixed assets &amp;</w:t>
            </w:r>
          </w:p>
        </w:tc>
        <w:tc>
          <w:tcPr>
            <w:tcW w:w="19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rPr>
                <w:sz w:val="20"/>
                <w:szCs w:val="20"/>
                <w:color w:val="auto"/>
              </w:rPr>
            </w:pPr>
            <w:r>
              <w:rPr>
                <w:rFonts w:ascii="Arial" w:cs="Arial" w:eastAsia="Arial" w:hAnsi="Arial"/>
                <w:sz w:val="12"/>
                <w:szCs w:val="12"/>
                <w:color w:val="auto"/>
              </w:rPr>
              <w:t>prepaids</w:t>
            </w:r>
          </w:p>
        </w:tc>
        <w:tc>
          <w:tcPr>
            <w:tcW w:w="1900" w:type="dxa"/>
            <w:vAlign w:val="bottom"/>
          </w:tcPr>
          <w:p>
            <w:pPr>
              <w:spacing w:after="0"/>
              <w:rPr>
                <w:sz w:val="12"/>
                <w:szCs w:val="12"/>
                <w:color w:val="auto"/>
              </w:rPr>
            </w:pPr>
          </w:p>
        </w:tc>
        <w:tc>
          <w:tcPr>
            <w:tcW w:w="3620" w:type="dxa"/>
            <w:vAlign w:val="bottom"/>
          </w:tcPr>
          <w:p>
            <w:pPr>
              <w:ind w:left="440"/>
              <w:spacing w:after="0" w:line="144" w:lineRule="exact"/>
              <w:rPr>
                <w:sz w:val="20"/>
                <w:szCs w:val="20"/>
                <w:color w:val="auto"/>
              </w:rPr>
            </w:pPr>
            <w:r>
              <w:rPr>
                <w:rFonts w:ascii="Arial" w:cs="Arial" w:eastAsia="Arial" w:hAnsi="Arial"/>
                <w:sz w:val="16"/>
                <w:szCs w:val="16"/>
                <w:color w:val="auto"/>
              </w:rPr>
              <w:t>historical practice</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560" w:type="dxa"/>
            <w:vAlign w:val="bottom"/>
          </w:tcPr>
          <w:p>
            <w:pPr>
              <w:ind w:left="100"/>
              <w:spacing w:after="0" w:line="96" w:lineRule="exact"/>
              <w:rPr>
                <w:sz w:val="20"/>
                <w:szCs w:val="20"/>
                <w:color w:val="auto"/>
              </w:rPr>
            </w:pPr>
            <w:r>
              <w:rPr>
                <w:rFonts w:ascii="Arial" w:cs="Arial" w:eastAsia="Arial" w:hAnsi="Arial"/>
                <w:sz w:val="11"/>
                <w:szCs w:val="11"/>
                <w:color w:val="auto"/>
              </w:rPr>
              <w:t>Property maintenance, and audits &amp; state</w:t>
            </w:r>
          </w:p>
        </w:tc>
        <w:tc>
          <w:tcPr>
            <w:tcW w:w="19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filings related to unclaimed property</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(Escheat)</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Travel and expense including reporting,</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audit, reimbursement, and</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2"/>
                <w:szCs w:val="12"/>
                <w:color w:val="auto"/>
              </w:rPr>
              <w:t>•</w:t>
            </w: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accounting/reporting</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Employee travel and corporate jet support</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ind w:left="380"/>
              <w:spacing w:after="0" w:line="124" w:lineRule="exact"/>
              <w:rPr>
                <w:sz w:val="20"/>
                <w:szCs w:val="20"/>
                <w:color w:val="auto"/>
              </w:rPr>
            </w:pPr>
            <w:r>
              <w:rPr>
                <w:rFonts w:ascii="Arial" w:cs="Arial" w:eastAsia="Arial" w:hAnsi="Arial"/>
                <w:sz w:val="12"/>
                <w:szCs w:val="12"/>
                <w:color w:val="auto"/>
              </w:rPr>
              <w:t>•</w:t>
            </w:r>
          </w:p>
        </w:tc>
        <w:tc>
          <w:tcPr>
            <w:tcW w:w="3560" w:type="dxa"/>
            <w:vAlign w:val="bottom"/>
          </w:tcPr>
          <w:p>
            <w:pPr>
              <w:ind w:left="100"/>
              <w:spacing w:after="0" w:line="124" w:lineRule="exact"/>
              <w:rPr>
                <w:sz w:val="20"/>
                <w:szCs w:val="20"/>
                <w:color w:val="auto"/>
              </w:rPr>
            </w:pPr>
            <w:r>
              <w:rPr>
                <w:rFonts w:ascii="Arial" w:cs="Arial" w:eastAsia="Arial" w:hAnsi="Arial"/>
                <w:sz w:val="12"/>
                <w:szCs w:val="12"/>
                <w:color w:val="auto"/>
              </w:rPr>
              <w:t>Corporate credit card including</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tcPr>
          <w:p>
            <w:pPr>
              <w:ind w:left="120"/>
              <w:spacing w:after="0" w:line="124" w:lineRule="exact"/>
              <w:rPr>
                <w:sz w:val="20"/>
                <w:szCs w:val="20"/>
                <w:color w:val="auto"/>
              </w:rPr>
            </w:pPr>
            <w:r>
              <w:rPr>
                <w:rFonts w:ascii="Arial" w:cs="Arial" w:eastAsia="Arial" w:hAnsi="Arial"/>
                <w:sz w:val="12"/>
                <w:szCs w:val="12"/>
                <w:color w:val="auto"/>
              </w:rPr>
              <w:t>administration, payments, accounting, and</w:t>
            </w:r>
          </w:p>
        </w:tc>
        <w:tc>
          <w:tcPr>
            <w:tcW w:w="1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560" w:type="dxa"/>
            <w:vAlign w:val="bottom"/>
          </w:tcPr>
          <w:p>
            <w:pPr>
              <w:ind w:left="120"/>
              <w:spacing w:after="0" w:line="133" w:lineRule="exact"/>
              <w:rPr>
                <w:sz w:val="20"/>
                <w:szCs w:val="20"/>
                <w:color w:val="auto"/>
              </w:rPr>
            </w:pPr>
            <w:r>
              <w:rPr>
                <w:rFonts w:ascii="Arial" w:cs="Arial" w:eastAsia="Arial" w:hAnsi="Arial"/>
                <w:sz w:val="12"/>
                <w:szCs w:val="12"/>
                <w:color w:val="auto"/>
              </w:rPr>
              <w:t>reporting</w:t>
            </w:r>
          </w:p>
        </w:tc>
        <w:tc>
          <w:tcPr>
            <w:tcW w:w="19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40"/>
        <w:spacing w:after="0" w:line="23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191770</wp:posOffset>
            </wp:positionH>
            <wp:positionV relativeFrom="page">
              <wp:posOffset>727075</wp:posOffset>
            </wp:positionV>
            <wp:extent cx="7171690" cy="2807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71690" cy="2807335"/>
                    </a:xfrm>
                    <a:prstGeom prst="rect">
                      <a:avLst/>
                    </a:prstGeom>
                    <a:noFill/>
                  </pic:spPr>
                </pic:pic>
              </a:graphicData>
            </a:graphic>
          </wp:anchor>
        </w:drawing>
        <w:t>Miscellaneous supplier relationship management and</w:t>
      </w:r>
    </w:p>
    <w:p>
      <w:pPr>
        <w:ind w:left="1840"/>
        <w:spacing w:after="0" w:line="214" w:lineRule="auto"/>
        <w:rPr>
          <w:sz w:val="20"/>
          <w:szCs w:val="20"/>
          <w:color w:val="auto"/>
        </w:rPr>
      </w:pPr>
      <w:r>
        <w:rPr>
          <w:rFonts w:ascii="Arial" w:cs="Arial" w:eastAsia="Arial" w:hAnsi="Arial"/>
          <w:sz w:val="12"/>
          <w:szCs w:val="12"/>
          <w:color w:val="auto"/>
        </w:rPr>
        <w:t>administration including FedEx, Office Max, Boost,</w:t>
      </w:r>
    </w:p>
    <w:p>
      <w:pPr>
        <w:ind w:left="1840"/>
        <w:spacing w:after="0"/>
        <w:rPr>
          <w:sz w:val="20"/>
          <w:szCs w:val="20"/>
          <w:color w:val="auto"/>
        </w:rPr>
      </w:pPr>
      <w:r>
        <w:rPr>
          <w:rFonts w:ascii="Arial" w:cs="Arial" w:eastAsia="Arial" w:hAnsi="Arial"/>
          <w:sz w:val="12"/>
          <w:szCs w:val="12"/>
          <w:color w:val="auto"/>
        </w:rPr>
        <w:t>Corp Grapix, Amazon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00"/>
          </w:cols>
          <w:pgMar w:left="300" w:top="1169" w:right="299" w:bottom="1440" w:gutter="0" w:footer="0" w:header="0"/>
        </w:sectPr>
      </w:pPr>
    </w:p>
    <w:bookmarkStart w:id="240" w:name="page241"/>
    <w:bookmarkEnd w:id="240"/>
    <w:p>
      <w:pPr>
        <w:spacing w:after="0"/>
        <w:rPr>
          <w:sz w:val="20"/>
          <w:szCs w:val="20"/>
          <w:color w:val="auto"/>
        </w:rPr>
      </w:pPr>
      <w:r>
        <w:rPr>
          <w:rFonts w:ascii="Arial" w:cs="Arial" w:eastAsia="Arial" w:hAnsi="Arial"/>
          <w:sz w:val="14"/>
          <w:szCs w:val="14"/>
          <w:b w:val="1"/>
          <w:bCs w:val="1"/>
          <w:color w:val="auto"/>
        </w:rPr>
        <w:t>Information Technology</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48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right w:val="single" w:sz="8" w:color="auto"/>
            </w:tcBorders>
            <w:vMerge w:val="restart"/>
            <w:shd w:val="clear" w:color="auto" w:fill="C6D9F1"/>
          </w:tcPr>
          <w:p>
            <w:pPr>
              <w:ind w:left="380"/>
              <w:spacing w:after="0"/>
              <w:rPr>
                <w:sz w:val="20"/>
                <w:szCs w:val="20"/>
                <w:color w:val="auto"/>
              </w:rPr>
            </w:pPr>
            <w:r>
              <w:rPr>
                <w:rFonts w:ascii="Arial" w:cs="Arial" w:eastAsia="Arial" w:hAnsi="Arial"/>
                <w:sz w:val="14"/>
                <w:szCs w:val="14"/>
                <w:b w:val="1"/>
                <w:bCs w:val="1"/>
                <w:color w:val="auto"/>
              </w:rPr>
              <w:t>Service Category</w:t>
            </w:r>
          </w:p>
        </w:tc>
        <w:tc>
          <w:tcPr>
            <w:tcW w:w="2600" w:type="dxa"/>
            <w:vAlign w:val="bottom"/>
            <w:tcBorders>
              <w:top w:val="single" w:sz="8" w:color="auto"/>
              <w:right w:val="single" w:sz="8" w:color="auto"/>
            </w:tcBorders>
            <w:vMerge w:val="restart"/>
            <w:shd w:val="clear" w:color="auto" w:fill="C6D9F1"/>
          </w:tcPr>
          <w:p>
            <w:pPr>
              <w:ind w:left="620"/>
              <w:spacing w:after="0"/>
              <w:rPr>
                <w:sz w:val="20"/>
                <w:szCs w:val="20"/>
                <w:color w:val="auto"/>
              </w:rPr>
            </w:pPr>
            <w:r>
              <w:rPr>
                <w:rFonts w:ascii="Arial" w:cs="Arial" w:eastAsia="Arial" w:hAnsi="Arial"/>
                <w:sz w:val="14"/>
                <w:szCs w:val="14"/>
                <w:b w:val="1"/>
                <w:bCs w:val="1"/>
                <w:color w:val="auto"/>
              </w:rPr>
              <w:t>Description of Services</w:t>
            </w:r>
          </w:p>
        </w:tc>
        <w:tc>
          <w:tcPr>
            <w:tcW w:w="2240" w:type="dxa"/>
            <w:vAlign w:val="bottom"/>
            <w:tcBorders>
              <w:top w:val="single" w:sz="8" w:color="auto"/>
              <w:right w:val="single" w:sz="8" w:color="auto"/>
            </w:tcBorders>
            <w:vMerge w:val="restart"/>
            <w:shd w:val="clear" w:color="auto" w:fill="C6D9F1"/>
          </w:tcPr>
          <w:p>
            <w:pPr>
              <w:ind w:left="420"/>
              <w:spacing w:after="0"/>
              <w:rPr>
                <w:sz w:val="20"/>
                <w:szCs w:val="20"/>
                <w:color w:val="auto"/>
              </w:rPr>
            </w:pPr>
            <w:r>
              <w:rPr>
                <w:rFonts w:ascii="Arial" w:cs="Arial" w:eastAsia="Arial" w:hAnsi="Arial"/>
                <w:sz w:val="14"/>
                <w:szCs w:val="14"/>
                <w:b w:val="1"/>
                <w:bCs w:val="1"/>
                <w:color w:val="auto"/>
              </w:rPr>
              <w:t>Additional Information</w:t>
            </w:r>
          </w:p>
        </w:tc>
        <w:tc>
          <w:tcPr>
            <w:tcW w:w="1160" w:type="dxa"/>
            <w:vAlign w:val="bottom"/>
            <w:tcBorders>
              <w:top w:val="single" w:sz="8" w:color="auto"/>
              <w:right w:val="single" w:sz="8" w:color="auto"/>
            </w:tcBorders>
            <w:vMerge w:val="restart"/>
            <w:shd w:val="clear" w:color="auto" w:fill="C6D9F1"/>
          </w:tcPr>
          <w:p>
            <w:pPr>
              <w:ind w:left="180"/>
              <w:spacing w:after="0"/>
              <w:rPr>
                <w:sz w:val="20"/>
                <w:szCs w:val="20"/>
                <w:color w:val="auto"/>
              </w:rPr>
            </w:pPr>
            <w:r>
              <w:rPr>
                <w:rFonts w:ascii="Arial" w:cs="Arial" w:eastAsia="Arial" w:hAnsi="Arial"/>
                <w:sz w:val="14"/>
                <w:szCs w:val="14"/>
                <w:b w:val="1"/>
                <w:bCs w:val="1"/>
                <w:color w:val="auto"/>
                <w:w w:val="99"/>
              </w:rPr>
              <w:t>Expense Type</w:t>
            </w:r>
          </w:p>
        </w:tc>
        <w:tc>
          <w:tcPr>
            <w:tcW w:w="1520" w:type="dxa"/>
            <w:vAlign w:val="bottom"/>
            <w:tcBorders>
              <w:top w:val="single" w:sz="8" w:color="auto"/>
              <w:right w:val="single" w:sz="8" w:color="auto"/>
            </w:tcBorders>
            <w:vMerge w:val="restart"/>
            <w:shd w:val="clear" w:color="auto" w:fill="C6D9F1"/>
          </w:tcPr>
          <w:p>
            <w:pPr>
              <w:ind w:left="100"/>
              <w:spacing w:after="0"/>
              <w:rPr>
                <w:sz w:val="20"/>
                <w:szCs w:val="20"/>
                <w:color w:val="auto"/>
              </w:rPr>
            </w:pPr>
            <w:r>
              <w:rPr>
                <w:rFonts w:ascii="Arial" w:cs="Arial" w:eastAsia="Arial" w:hAnsi="Arial"/>
                <w:sz w:val="14"/>
                <w:szCs w:val="14"/>
                <w:b w:val="1"/>
                <w:bCs w:val="1"/>
                <w:color w:val="auto"/>
              </w:rPr>
              <w:t>Service Fee</w:t>
            </w:r>
          </w:p>
        </w:tc>
        <w:tc>
          <w:tcPr>
            <w:tcW w:w="1540" w:type="dxa"/>
            <w:vAlign w:val="bottom"/>
            <w:tcBorders>
              <w:top w:val="single" w:sz="8" w:color="auto"/>
              <w:right w:val="single" w:sz="8" w:color="auto"/>
            </w:tcBorders>
            <w:shd w:val="clear" w:color="auto" w:fill="C6D9F1"/>
          </w:tcPr>
          <w:p>
            <w:pPr>
              <w:ind w:left="40"/>
              <w:spacing w:after="0" w:line="125"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vMerge w:val="continue"/>
            <w:shd w:val="clear" w:color="auto" w:fill="C6D9F1"/>
          </w:tcPr>
          <w:p>
            <w:pPr>
              <w:spacing w:after="0"/>
              <w:rPr>
                <w:sz w:val="8"/>
                <w:szCs w:val="8"/>
                <w:color w:val="auto"/>
              </w:rPr>
            </w:pPr>
          </w:p>
        </w:tc>
        <w:tc>
          <w:tcPr>
            <w:tcW w:w="1760" w:type="dxa"/>
            <w:vAlign w:val="bottom"/>
            <w:tcBorders>
              <w:right w:val="single" w:sz="8" w:color="auto"/>
            </w:tcBorders>
            <w:vMerge w:val="continue"/>
            <w:shd w:val="clear" w:color="auto" w:fill="C6D9F1"/>
          </w:tcPr>
          <w:p>
            <w:pPr>
              <w:spacing w:after="0"/>
              <w:rPr>
                <w:sz w:val="8"/>
                <w:szCs w:val="8"/>
                <w:color w:val="auto"/>
              </w:rPr>
            </w:pPr>
          </w:p>
        </w:tc>
        <w:tc>
          <w:tcPr>
            <w:tcW w:w="2600" w:type="dxa"/>
            <w:vAlign w:val="bottom"/>
            <w:tcBorders>
              <w:right w:val="single" w:sz="8" w:color="auto"/>
            </w:tcBorders>
            <w:vMerge w:val="continue"/>
            <w:shd w:val="clear" w:color="auto" w:fill="C6D9F1"/>
          </w:tcPr>
          <w:p>
            <w:pPr>
              <w:spacing w:after="0"/>
              <w:rPr>
                <w:sz w:val="8"/>
                <w:szCs w:val="8"/>
                <w:color w:val="auto"/>
              </w:rPr>
            </w:pPr>
          </w:p>
        </w:tc>
        <w:tc>
          <w:tcPr>
            <w:tcW w:w="2240" w:type="dxa"/>
            <w:vAlign w:val="bottom"/>
            <w:tcBorders>
              <w:right w:val="single" w:sz="8" w:color="auto"/>
            </w:tcBorders>
            <w:vMerge w:val="continue"/>
            <w:shd w:val="clear" w:color="auto" w:fill="C6D9F1"/>
          </w:tcPr>
          <w:p>
            <w:pPr>
              <w:spacing w:after="0"/>
              <w:rPr>
                <w:sz w:val="8"/>
                <w:szCs w:val="8"/>
                <w:color w:val="auto"/>
              </w:rPr>
            </w:pPr>
          </w:p>
        </w:tc>
        <w:tc>
          <w:tcPr>
            <w:tcW w:w="1160" w:type="dxa"/>
            <w:vAlign w:val="bottom"/>
            <w:tcBorders>
              <w:right w:val="single" w:sz="8" w:color="auto"/>
            </w:tcBorders>
            <w:vMerge w:val="continue"/>
            <w:shd w:val="clear" w:color="auto" w:fill="C6D9F1"/>
          </w:tcPr>
          <w:p>
            <w:pPr>
              <w:spacing w:after="0"/>
              <w:rPr>
                <w:sz w:val="8"/>
                <w:szCs w:val="8"/>
                <w:color w:val="auto"/>
              </w:rPr>
            </w:pPr>
          </w:p>
        </w:tc>
        <w:tc>
          <w:tcPr>
            <w:tcW w:w="1520" w:type="dxa"/>
            <w:vAlign w:val="bottom"/>
            <w:tcBorders>
              <w:right w:val="single" w:sz="8" w:color="auto"/>
            </w:tcBorders>
            <w:vMerge w:val="continue"/>
            <w:shd w:val="clear" w:color="auto" w:fill="C6D9F1"/>
          </w:tcPr>
          <w:p>
            <w:pPr>
              <w:spacing w:after="0"/>
              <w:rPr>
                <w:sz w:val="8"/>
                <w:szCs w:val="8"/>
                <w:color w:val="auto"/>
              </w:rPr>
            </w:pPr>
          </w:p>
        </w:tc>
        <w:tc>
          <w:tcPr>
            <w:tcW w:w="1540" w:type="dxa"/>
            <w:vAlign w:val="bottom"/>
            <w:tcBorders>
              <w:right w:val="single" w:sz="8" w:color="auto"/>
            </w:tcBorders>
            <w:vMerge w:val="restart"/>
            <w:shd w:val="clear" w:color="auto" w:fill="C6D9F1"/>
          </w:tcPr>
          <w:p>
            <w:pPr>
              <w:ind w:left="8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480" w:type="dxa"/>
            <w:vAlign w:val="bottom"/>
            <w:tcBorders>
              <w:left w:val="single" w:sz="8" w:color="auto"/>
              <w:bottom w:val="single" w:sz="8" w:color="auto"/>
              <w:right w:val="single" w:sz="8" w:color="auto"/>
            </w:tcBorders>
            <w:shd w:val="clear" w:color="auto" w:fill="C6D9F1"/>
          </w:tcPr>
          <w:p>
            <w:pPr>
              <w:spacing w:after="0"/>
              <w:rPr>
                <w:sz w:val="6"/>
                <w:szCs w:val="6"/>
                <w:color w:val="auto"/>
              </w:rPr>
            </w:pPr>
          </w:p>
        </w:tc>
        <w:tc>
          <w:tcPr>
            <w:tcW w:w="1760" w:type="dxa"/>
            <w:vAlign w:val="bottom"/>
            <w:tcBorders>
              <w:bottom w:val="single" w:sz="8" w:color="auto"/>
              <w:right w:val="single" w:sz="8" w:color="auto"/>
            </w:tcBorders>
            <w:shd w:val="clear" w:color="auto" w:fill="C6D9F1"/>
          </w:tcPr>
          <w:p>
            <w:pPr>
              <w:spacing w:after="0"/>
              <w:rPr>
                <w:sz w:val="6"/>
                <w:szCs w:val="6"/>
                <w:color w:val="auto"/>
              </w:rPr>
            </w:pPr>
          </w:p>
        </w:tc>
        <w:tc>
          <w:tcPr>
            <w:tcW w:w="2600" w:type="dxa"/>
            <w:vAlign w:val="bottom"/>
            <w:tcBorders>
              <w:bottom w:val="single" w:sz="8" w:color="auto"/>
              <w:right w:val="single" w:sz="8" w:color="auto"/>
            </w:tcBorders>
            <w:shd w:val="clear" w:color="auto" w:fill="C6D9F1"/>
          </w:tcPr>
          <w:p>
            <w:pPr>
              <w:spacing w:after="0"/>
              <w:rPr>
                <w:sz w:val="6"/>
                <w:szCs w:val="6"/>
                <w:color w:val="auto"/>
              </w:rPr>
            </w:pPr>
          </w:p>
        </w:tc>
        <w:tc>
          <w:tcPr>
            <w:tcW w:w="2240" w:type="dxa"/>
            <w:vAlign w:val="bottom"/>
            <w:tcBorders>
              <w:bottom w:val="single" w:sz="8" w:color="auto"/>
              <w:right w:val="single" w:sz="8" w:color="auto"/>
            </w:tcBorders>
            <w:shd w:val="clear" w:color="auto" w:fill="C6D9F1"/>
          </w:tcPr>
          <w:p>
            <w:pPr>
              <w:spacing w:after="0"/>
              <w:rPr>
                <w:sz w:val="6"/>
                <w:szCs w:val="6"/>
                <w:color w:val="auto"/>
              </w:rPr>
            </w:pPr>
          </w:p>
        </w:tc>
        <w:tc>
          <w:tcPr>
            <w:tcW w:w="1160" w:type="dxa"/>
            <w:vAlign w:val="bottom"/>
            <w:tcBorders>
              <w:bottom w:val="single" w:sz="8" w:color="auto"/>
              <w:right w:val="single" w:sz="8" w:color="auto"/>
            </w:tcBorders>
            <w:shd w:val="clear" w:color="auto" w:fill="C6D9F1"/>
          </w:tcPr>
          <w:p>
            <w:pPr>
              <w:spacing w:after="0"/>
              <w:rPr>
                <w:sz w:val="6"/>
                <w:szCs w:val="6"/>
                <w:color w:val="auto"/>
              </w:rPr>
            </w:pPr>
          </w:p>
        </w:tc>
        <w:tc>
          <w:tcPr>
            <w:tcW w:w="1520" w:type="dxa"/>
            <w:vAlign w:val="bottom"/>
            <w:tcBorders>
              <w:bottom w:val="single" w:sz="8" w:color="auto"/>
              <w:right w:val="single" w:sz="8" w:color="auto"/>
            </w:tcBorders>
            <w:shd w:val="clear" w:color="auto" w:fill="C6D9F1"/>
          </w:tcPr>
          <w:p>
            <w:pPr>
              <w:spacing w:after="0"/>
              <w:rPr>
                <w:sz w:val="6"/>
                <w:szCs w:val="6"/>
                <w:color w:val="auto"/>
              </w:rPr>
            </w:pPr>
          </w:p>
        </w:tc>
        <w:tc>
          <w:tcPr>
            <w:tcW w:w="1540" w:type="dxa"/>
            <w:vAlign w:val="bottom"/>
            <w:tcBorders>
              <w:bottom w:val="single" w:sz="8" w:color="auto"/>
              <w:right w:val="single" w:sz="8" w:color="auto"/>
            </w:tcBorders>
            <w:vMerge w:val="continue"/>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rPr>
              <w:t>Microsoft Office 365</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Proofpoint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support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Identity Manager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Mimecast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Directory and identity management services.</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Paperclip</w:t>
            </w:r>
          </w:p>
        </w:tc>
        <w:tc>
          <w:tcPr>
            <w:tcW w:w="11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1"/>
              </w:rPr>
              <w:t>Associate collaboration and communication</w:t>
            </w:r>
          </w:p>
        </w:tc>
        <w:tc>
          <w:tcPr>
            <w:tcW w:w="2240" w:type="dxa"/>
            <w:vAlign w:val="bottom"/>
            <w:tcBorders>
              <w:right w:val="single" w:sz="8" w:color="auto"/>
            </w:tcBorders>
          </w:tcPr>
          <w:p>
            <w:pPr>
              <w:ind w:left="100"/>
              <w:spacing w:after="0" w:line="92" w:lineRule="exact"/>
              <w:rPr>
                <w:sz w:val="20"/>
                <w:szCs w:val="20"/>
                <w:color w:val="auto"/>
              </w:rPr>
            </w:pPr>
            <w:r>
              <w:rPr>
                <w:rFonts w:ascii="Arial" w:cs="Arial" w:eastAsia="Arial" w:hAnsi="Arial"/>
                <w:sz w:val="10"/>
                <w:szCs w:val="10"/>
                <w:color w:val="auto"/>
              </w:rPr>
              <w:t>Randstand</w:t>
            </w:r>
          </w:p>
        </w:tc>
        <w:tc>
          <w:tcPr>
            <w:tcW w:w="11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8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89"/>
              </w:rPr>
              <w:t>20</w:t>
            </w:r>
          </w:p>
        </w:tc>
        <w:tc>
          <w:tcPr>
            <w:tcW w:w="176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b w:val="1"/>
                <w:bCs w:val="1"/>
                <w:color w:val="auto"/>
                <w:w w:val="92"/>
              </w:rPr>
              <w:t>Office365/Active Directory</w:t>
            </w:r>
          </w:p>
        </w:tc>
        <w:tc>
          <w:tcPr>
            <w:tcW w:w="260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Cofense</w:t>
            </w:r>
          </w:p>
        </w:tc>
        <w:tc>
          <w:tcPr>
            <w:tcW w:w="116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13"/>
                <w:szCs w:val="13"/>
                <w:color w:val="auto"/>
              </w:rPr>
            </w:pPr>
          </w:p>
        </w:tc>
        <w:tc>
          <w:tcPr>
            <w:tcW w:w="1540" w:type="dxa"/>
            <w:vAlign w:val="bottom"/>
            <w:tcBorders>
              <w:right w:val="single" w:sz="8" w:color="auto"/>
            </w:tcBorders>
          </w:tcPr>
          <w:p>
            <w:pPr>
              <w:ind w:left="40"/>
              <w:spacing w:after="0" w:line="154"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tools which include email, instant</w:t>
            </w:r>
          </w:p>
        </w:tc>
        <w:tc>
          <w:tcPr>
            <w:tcW w:w="22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with historical practice</w:t>
            </w: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8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8"/>
              </w:rPr>
              <w:t>messaging, and video conferencing services.</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GF will provide these services to</w:t>
            </w:r>
          </w:p>
        </w:tc>
        <w:tc>
          <w:tcPr>
            <w:tcW w:w="116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Company until an agreed date when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5"/>
              </w:rPr>
              <w:t>Company will assume responsibility</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4"/>
              </w:rPr>
              <w:t>for these services and provide them</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back to GF and AUS MI (per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Schedule B)</w:t>
            </w: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21</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Database support</w:t>
            </w: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8"/>
              </w:rPr>
              <w:t>Provide access to database licenses through</w:t>
            </w: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rPr>
              <w:t>Oracle</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w:t>
            </w:r>
          </w:p>
        </w:tc>
        <w:tc>
          <w:tcPr>
            <w:tcW w:w="116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Genworth-wide contracts.</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Imperva</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vMerge w:val="continue"/>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Security services –</w:t>
            </w:r>
          </w:p>
        </w:tc>
        <w:tc>
          <w:tcPr>
            <w:tcW w:w="260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w w:val="99"/>
              </w:rPr>
              <w:t>Genworth security policy administration.</w:t>
            </w:r>
          </w:p>
        </w:tc>
        <w:tc>
          <w:tcPr>
            <w:tcW w:w="22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35 and 36, which are</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22</w:t>
            </w:r>
          </w:p>
        </w:tc>
        <w:tc>
          <w:tcPr>
            <w:tcW w:w="17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Security event resolution.</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None</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b w:val="1"/>
                <w:bCs w:val="1"/>
                <w:color w:val="auto"/>
              </w:rPr>
              <w:t>oversight execution</w:t>
            </w:r>
          </w:p>
        </w:tc>
        <w:tc>
          <w:tcPr>
            <w:tcW w:w="260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Provides responses to external audit</w:t>
            </w:r>
          </w:p>
        </w:tc>
        <w:tc>
          <w:tcPr>
            <w:tcW w:w="22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restart"/>
          </w:tcPr>
          <w:p>
            <w:pPr>
              <w:ind w:left="80"/>
              <w:spacing w:after="0" w:line="144" w:lineRule="exact"/>
              <w:rPr>
                <w:sz w:val="20"/>
                <w:szCs w:val="20"/>
                <w:color w:val="auto"/>
              </w:rPr>
            </w:pPr>
            <w:r>
              <w:rPr>
                <w:rFonts w:ascii="Arial" w:cs="Arial" w:eastAsia="Arial" w:hAnsi="Arial"/>
                <w:sz w:val="14"/>
                <w:szCs w:val="14"/>
                <w:color w:val="auto"/>
              </w:rPr>
              <w:t>dependent upon 20</w:t>
            </w:r>
          </w:p>
        </w:tc>
        <w:tc>
          <w:tcPr>
            <w:tcW w:w="0" w:type="dxa"/>
            <w:vAlign w:val="bottom"/>
          </w:tcPr>
          <w:p>
            <w:pPr>
              <w:spacing w:after="0"/>
              <w:rPr>
                <w:sz w:val="1"/>
                <w:szCs w:val="1"/>
                <w:color w:val="auto"/>
              </w:rPr>
            </w:pPr>
          </w:p>
        </w:tc>
      </w:tr>
      <w:tr>
        <w:trPr>
          <w:trHeight w:val="42"/>
        </w:trPr>
        <w:tc>
          <w:tcPr>
            <w:tcW w:w="480" w:type="dxa"/>
            <w:vAlign w:val="bottom"/>
            <w:tcBorders>
              <w:left w:val="single" w:sz="8" w:color="auto"/>
              <w:right w:val="single" w:sz="8" w:color="auto"/>
            </w:tcBorders>
          </w:tcPr>
          <w:p>
            <w:pPr>
              <w:spacing w:after="0"/>
              <w:rPr>
                <w:sz w:val="3"/>
                <w:szCs w:val="3"/>
                <w:color w:val="auto"/>
              </w:rPr>
            </w:pPr>
          </w:p>
        </w:tc>
        <w:tc>
          <w:tcPr>
            <w:tcW w:w="1760" w:type="dxa"/>
            <w:vAlign w:val="bottom"/>
            <w:tcBorders>
              <w:right w:val="single" w:sz="8" w:color="auto"/>
            </w:tcBorders>
            <w:vMerge w:val="continue"/>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vMerge w:val="continue"/>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requests.</w:t>
            </w:r>
          </w:p>
        </w:tc>
        <w:tc>
          <w:tcPr>
            <w:tcW w:w="2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rPr>
              <w:t>Canary (Honeypots)</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Provide access to database activity</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OpSec Online</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Rapid7</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monitoring</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CheckMark</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0"/>
              </w:rPr>
              <w:t>Provide access to end-user security training</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ConvergePoint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83"/>
              </w:rPr>
              <w:t>Security services – access to</w:t>
            </w: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course.</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KnowBe4</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23</w:t>
            </w:r>
          </w:p>
        </w:tc>
        <w:tc>
          <w:tcPr>
            <w:tcW w:w="1760" w:type="dxa"/>
            <w:vAlign w:val="bottom"/>
            <w:tcBorders>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2"/>
              </w:rPr>
              <w:t>Provide access to information classification</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Living Security</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35 and 36, which is</w:t>
            </w: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tcPr>
          <w:p>
            <w:pPr>
              <w:ind w:left="100"/>
              <w:spacing w:after="0" w:line="92" w:lineRule="exact"/>
              <w:rPr>
                <w:sz w:val="20"/>
                <w:szCs w:val="20"/>
                <w:color w:val="auto"/>
              </w:rPr>
            </w:pPr>
            <w:r>
              <w:rPr>
                <w:rFonts w:ascii="Arial" w:cs="Arial" w:eastAsia="Arial" w:hAnsi="Arial"/>
                <w:sz w:val="10"/>
                <w:szCs w:val="10"/>
                <w:b w:val="1"/>
                <w:bCs w:val="1"/>
                <w:color w:val="auto"/>
              </w:rPr>
              <w:t>protection and vulnerability</w:t>
            </w:r>
          </w:p>
        </w:tc>
        <w:tc>
          <w:tcPr>
            <w:tcW w:w="2600" w:type="dxa"/>
            <w:vAlign w:val="bottom"/>
            <w:tcBorders>
              <w:right w:val="single" w:sz="8" w:color="auto"/>
            </w:tcBorders>
          </w:tcPr>
          <w:p>
            <w:pPr>
              <w:ind w:left="100"/>
              <w:spacing w:after="0" w:line="92" w:lineRule="exact"/>
              <w:rPr>
                <w:sz w:val="20"/>
                <w:szCs w:val="20"/>
                <w:color w:val="auto"/>
              </w:rPr>
            </w:pPr>
            <w:r>
              <w:rPr>
                <w:rFonts w:ascii="Arial" w:cs="Arial" w:eastAsia="Arial" w:hAnsi="Arial"/>
                <w:sz w:val="10"/>
                <w:szCs w:val="10"/>
                <w:color w:val="auto"/>
              </w:rPr>
              <w:t>software.</w:t>
            </w:r>
          </w:p>
        </w:tc>
        <w:tc>
          <w:tcPr>
            <w:tcW w:w="2240" w:type="dxa"/>
            <w:vAlign w:val="bottom"/>
            <w:tcBorders>
              <w:right w:val="single" w:sz="8" w:color="auto"/>
            </w:tcBorders>
          </w:tcPr>
          <w:p>
            <w:pPr>
              <w:ind w:left="100"/>
              <w:spacing w:after="0" w:line="92" w:lineRule="exact"/>
              <w:rPr>
                <w:sz w:val="20"/>
                <w:szCs w:val="20"/>
                <w:color w:val="auto"/>
              </w:rPr>
            </w:pPr>
            <w:r>
              <w:rPr>
                <w:rFonts w:ascii="Arial" w:cs="Arial" w:eastAsia="Arial" w:hAnsi="Arial"/>
                <w:sz w:val="10"/>
                <w:szCs w:val="10"/>
                <w:color w:val="auto"/>
              </w:rPr>
              <w:t>Bolden/James</w:t>
            </w:r>
          </w:p>
        </w:tc>
        <w:tc>
          <w:tcPr>
            <w:tcW w:w="11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dependent upon 20</w:t>
            </w: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vMerge w:val="restart"/>
          </w:tcPr>
          <w:p>
            <w:pPr>
              <w:ind w:left="100"/>
              <w:spacing w:after="0" w:line="154" w:lineRule="exact"/>
              <w:rPr>
                <w:sz w:val="20"/>
                <w:szCs w:val="20"/>
                <w:color w:val="auto"/>
              </w:rPr>
            </w:pPr>
            <w:r>
              <w:rPr>
                <w:rFonts w:ascii="Arial" w:cs="Arial" w:eastAsia="Arial" w:hAnsi="Arial"/>
                <w:sz w:val="14"/>
                <w:szCs w:val="14"/>
                <w:b w:val="1"/>
                <w:bCs w:val="1"/>
                <w:color w:val="auto"/>
              </w:rPr>
              <w:t>assessment tools.</w:t>
            </w:r>
          </w:p>
        </w:tc>
        <w:tc>
          <w:tcPr>
            <w:tcW w:w="2600" w:type="dxa"/>
            <w:vAlign w:val="bottom"/>
            <w:tcBorders>
              <w:right w:val="single" w:sz="8" w:color="auto"/>
            </w:tcBorders>
            <w:vMerge w:val="restart"/>
          </w:tcPr>
          <w:p>
            <w:pPr>
              <w:ind w:left="100"/>
              <w:spacing w:after="0" w:line="154" w:lineRule="exact"/>
              <w:rPr>
                <w:sz w:val="20"/>
                <w:szCs w:val="20"/>
                <w:color w:val="auto"/>
              </w:rPr>
            </w:pPr>
            <w:r>
              <w:rPr>
                <w:rFonts w:ascii="Arial" w:cs="Arial" w:eastAsia="Arial" w:hAnsi="Arial"/>
                <w:sz w:val="14"/>
                <w:szCs w:val="14"/>
                <w:color w:val="auto"/>
              </w:rPr>
              <w:t>Provide access to distributed denial of</w:t>
            </w:r>
          </w:p>
        </w:tc>
        <w:tc>
          <w:tcPr>
            <w:tcW w:w="2240" w:type="dxa"/>
            <w:vAlign w:val="bottom"/>
            <w:tcBorders>
              <w:right w:val="single" w:sz="8" w:color="auto"/>
            </w:tcBorders>
            <w:vMerge w:val="restart"/>
          </w:tcPr>
          <w:p>
            <w:pPr>
              <w:ind w:left="100"/>
              <w:spacing w:after="0" w:line="154" w:lineRule="exact"/>
              <w:rPr>
                <w:sz w:val="20"/>
                <w:szCs w:val="20"/>
                <w:color w:val="auto"/>
              </w:rPr>
            </w:pPr>
            <w:r>
              <w:rPr>
                <w:rFonts w:ascii="Arial" w:cs="Arial" w:eastAsia="Arial" w:hAnsi="Arial"/>
                <w:sz w:val="14"/>
                <w:szCs w:val="14"/>
                <w:color w:val="auto"/>
              </w:rPr>
              <w:t>PaloAlto (Prisma)</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480" w:type="dxa"/>
            <w:vAlign w:val="bottom"/>
            <w:tcBorders>
              <w:left w:val="single" w:sz="8" w:color="auto"/>
              <w:right w:val="single" w:sz="8" w:color="auto"/>
            </w:tcBorders>
          </w:tcPr>
          <w:p>
            <w:pPr>
              <w:spacing w:after="0"/>
              <w:rPr>
                <w:sz w:val="3"/>
                <w:szCs w:val="3"/>
                <w:color w:val="auto"/>
              </w:rPr>
            </w:pPr>
          </w:p>
        </w:tc>
        <w:tc>
          <w:tcPr>
            <w:tcW w:w="1760" w:type="dxa"/>
            <w:vAlign w:val="bottom"/>
            <w:tcBorders>
              <w:right w:val="single" w:sz="8" w:color="auto"/>
            </w:tcBorders>
            <w:vMerge w:val="continue"/>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2240" w:type="dxa"/>
            <w:vAlign w:val="bottom"/>
            <w:tcBorders>
              <w:right w:val="single" w:sz="8" w:color="auto"/>
            </w:tcBorders>
            <w:vMerge w:val="continue"/>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service (DDoS) attack recover services.</w:t>
            </w:r>
          </w:p>
        </w:tc>
        <w:tc>
          <w:tcPr>
            <w:tcW w:w="224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Cofense</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4"/>
              </w:rPr>
              <w:t>Provides vulnerability assessment results,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Contrast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2"/>
              </w:rPr>
              <w:t>include application testing, server analysis,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Imperva</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and penetration testing.</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Neustar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FSISAC</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Gartner</w:t>
            </w: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00"/>
          </w:cols>
          <w:pgMar w:left="300" w:top="1101" w:right="299" w:bottom="1440" w:gutter="0" w:footer="0" w:header="0"/>
        </w:sectPr>
      </w:pPr>
    </w:p>
    <w:bookmarkStart w:id="241" w:name="page242"/>
    <w:bookmarkEnd w:id="241"/>
    <w:tbl>
      <w:tblPr>
        <w:tblLayout w:type="fixed"/>
        <w:tblInd w:w="10" w:type="dxa"/>
        <w:tblCellMar>
          <w:top w:w="0" w:type="dxa"/>
          <w:left w:w="0" w:type="dxa"/>
          <w:bottom w:w="0" w:type="dxa"/>
          <w:right w:w="0" w:type="dxa"/>
        </w:tblCellMar>
      </w:tblPr>
      <w:tr>
        <w:trPr>
          <w:trHeight w:val="144"/>
        </w:trPr>
        <w:tc>
          <w:tcPr>
            <w:tcW w:w="480" w:type="dxa"/>
            <w:vAlign w:val="bottom"/>
            <w:tcBorders>
              <w:top w:val="single" w:sz="8" w:color="auto"/>
              <w:left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spacing w:after="0"/>
              <w:rPr>
                <w:sz w:val="12"/>
                <w:szCs w:val="12"/>
                <w:color w:val="auto"/>
              </w:rPr>
            </w:pPr>
          </w:p>
        </w:tc>
        <w:tc>
          <w:tcPr>
            <w:tcW w:w="2600" w:type="dxa"/>
            <w:vAlign w:val="bottom"/>
            <w:tcBorders>
              <w:top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Provide access to the Information</w:t>
            </w:r>
          </w:p>
        </w:tc>
        <w:tc>
          <w:tcPr>
            <w:tcW w:w="224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Technology Services Management (ITSM)</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Microsoft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w w:val="92"/>
              </w:rPr>
              <w:t>application, which enables the Company to</w:t>
            </w:r>
          </w:p>
        </w:tc>
        <w:tc>
          <w:tcPr>
            <w:tcW w:w="22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260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Apple for Enterprise Support</w:t>
            </w:r>
          </w:p>
        </w:tc>
        <w:tc>
          <w:tcPr>
            <w:tcW w:w="116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make services requests for all services</w:t>
            </w:r>
          </w:p>
        </w:tc>
        <w:tc>
          <w:tcPr>
            <w:tcW w:w="22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260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JAMF for MAC</w:t>
            </w:r>
          </w:p>
        </w:tc>
        <w:tc>
          <w:tcPr>
            <w:tcW w:w="116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9"/>
              </w:rPr>
              <w:t>defined in shared services schedule and this</w:t>
            </w:r>
          </w:p>
        </w:tc>
        <w:tc>
          <w:tcPr>
            <w:tcW w:w="22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24</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End User Services</w:t>
            </w: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ServiceNow, Microsoft InTune,</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vMerge w:val="continue"/>
          </w:tcPr>
          <w:p>
            <w:pPr>
              <w:spacing w:after="0"/>
              <w:rPr>
                <w:sz w:val="6"/>
                <w:szCs w:val="6"/>
                <w:color w:val="auto"/>
              </w:rPr>
            </w:pPr>
          </w:p>
        </w:tc>
        <w:tc>
          <w:tcPr>
            <w:tcW w:w="1760" w:type="dxa"/>
            <w:vAlign w:val="bottom"/>
            <w:tcBorders>
              <w:right w:val="single" w:sz="8" w:color="auto"/>
            </w:tcBorders>
            <w:vMerge w:val="continue"/>
          </w:tcPr>
          <w:p>
            <w:pPr>
              <w:spacing w:after="0"/>
              <w:rPr>
                <w:sz w:val="6"/>
                <w:szCs w:val="6"/>
                <w:color w:val="auto"/>
              </w:rPr>
            </w:pPr>
          </w:p>
        </w:tc>
        <w:tc>
          <w:tcPr>
            <w:tcW w:w="2600" w:type="dxa"/>
            <w:vAlign w:val="bottom"/>
            <w:tcBorders>
              <w:right w:val="single" w:sz="8" w:color="auto"/>
            </w:tcBorders>
          </w:tcPr>
          <w:p>
            <w:pPr>
              <w:ind w:left="100"/>
              <w:spacing w:after="0" w:line="72" w:lineRule="exact"/>
              <w:rPr>
                <w:sz w:val="20"/>
                <w:szCs w:val="20"/>
                <w:color w:val="auto"/>
              </w:rPr>
            </w:pPr>
            <w:r>
              <w:rPr>
                <w:rFonts w:ascii="Arial" w:cs="Arial" w:eastAsia="Arial" w:hAnsi="Arial"/>
                <w:sz w:val="8"/>
                <w:szCs w:val="8"/>
                <w:color w:val="auto"/>
              </w:rPr>
              <w:t>agreement.</w:t>
            </w:r>
          </w:p>
        </w:tc>
        <w:tc>
          <w:tcPr>
            <w:tcW w:w="224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WinZip, Apple</w:t>
            </w:r>
          </w:p>
        </w:tc>
        <w:tc>
          <w:tcPr>
            <w:tcW w:w="116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Provide access to end-user computing</w:t>
            </w:r>
          </w:p>
        </w:tc>
        <w:tc>
          <w:tcPr>
            <w:tcW w:w="224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vMerge w:val="restart"/>
          </w:tcPr>
          <w:p>
            <w:pPr>
              <w:ind w:left="100"/>
              <w:spacing w:after="0" w:line="123" w:lineRule="exact"/>
              <w:rPr>
                <w:sz w:val="20"/>
                <w:szCs w:val="20"/>
                <w:color w:val="auto"/>
              </w:rPr>
            </w:pPr>
            <w:r>
              <w:rPr>
                <w:rFonts w:ascii="Arial" w:cs="Arial" w:eastAsia="Arial" w:hAnsi="Arial"/>
                <w:sz w:val="14"/>
                <w:szCs w:val="14"/>
                <w:color w:val="auto"/>
              </w:rPr>
              <w:t>Hewlett Packard</w:t>
            </w: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software and hardware contracts.</w:t>
            </w:r>
          </w:p>
        </w:tc>
        <w:tc>
          <w:tcPr>
            <w:tcW w:w="22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260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Crowd Strike</w:t>
            </w:r>
          </w:p>
        </w:tc>
        <w:tc>
          <w:tcPr>
            <w:tcW w:w="116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Change network and active directory</w:t>
            </w:r>
          </w:p>
        </w:tc>
        <w:tc>
          <w:tcPr>
            <w:tcW w:w="22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260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McAfee</w:t>
            </w:r>
          </w:p>
        </w:tc>
        <w:tc>
          <w:tcPr>
            <w:tcW w:w="116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w w:val="93"/>
              </w:rPr>
              <w:t>passwords for the Company associates as</w:t>
            </w:r>
          </w:p>
        </w:tc>
        <w:tc>
          <w:tcPr>
            <w:tcW w:w="22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48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vMerge w:val="continue"/>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needed.</w:t>
            </w:r>
          </w:p>
        </w:tc>
        <w:tc>
          <w:tcPr>
            <w:tcW w:w="22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rPr>
              <w:t>Druva (cloud backups)</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MarkMonitor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Ping</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9"/>
              </w:rPr>
              <w:t>Provide the application infrastructure for</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F5 Networks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80" w:type="dxa"/>
            <w:vAlign w:val="bottom"/>
            <w:tcBorders>
              <w:left w:val="single" w:sz="8" w:color="auto"/>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TCS</w:t>
            </w:r>
          </w:p>
        </w:tc>
        <w:tc>
          <w:tcPr>
            <w:tcW w:w="116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the Company applications, including</w:t>
            </w:r>
          </w:p>
        </w:tc>
        <w:tc>
          <w:tcPr>
            <w:tcW w:w="22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480" w:type="dxa"/>
            <w:vAlign w:val="bottom"/>
            <w:tcBorders>
              <w:left w:val="single" w:sz="8" w:color="auto"/>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Sirius</w:t>
            </w:r>
          </w:p>
        </w:tc>
        <w:tc>
          <w:tcPr>
            <w:tcW w:w="116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Infrastructure shared</w:t>
            </w:r>
          </w:p>
        </w:tc>
        <w:tc>
          <w:tcPr>
            <w:tcW w:w="260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4"/>
                <w:szCs w:val="14"/>
                <w:color w:val="auto"/>
              </w:rPr>
              <w:t>application load balancing, certificate</w:t>
            </w:r>
          </w:p>
        </w:tc>
        <w:tc>
          <w:tcPr>
            <w:tcW w:w="224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80" w:type="dxa"/>
            <w:vAlign w:val="bottom"/>
            <w:tcBorders>
              <w:left w:val="single" w:sz="8" w:color="auto"/>
              <w:right w:val="single" w:sz="8" w:color="auto"/>
            </w:tcBorders>
          </w:tcPr>
          <w:p>
            <w:pPr>
              <w:jc w:val="right"/>
              <w:ind w:right="112"/>
              <w:spacing w:after="0" w:line="139" w:lineRule="exact"/>
              <w:rPr>
                <w:sz w:val="20"/>
                <w:szCs w:val="20"/>
                <w:color w:val="auto"/>
              </w:rPr>
            </w:pPr>
            <w:r>
              <w:rPr>
                <w:rFonts w:ascii="Arial" w:cs="Arial" w:eastAsia="Arial" w:hAnsi="Arial"/>
                <w:sz w:val="14"/>
                <w:szCs w:val="14"/>
                <w:b w:val="1"/>
                <w:bCs w:val="1"/>
                <w:color w:val="auto"/>
              </w:rPr>
              <w:t>25</w:t>
            </w:r>
          </w:p>
        </w:tc>
        <w:tc>
          <w:tcPr>
            <w:tcW w:w="176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tcPr>
          <w:p>
            <w:pPr>
              <w:ind w:left="100"/>
              <w:spacing w:after="0" w:line="139" w:lineRule="exact"/>
              <w:rPr>
                <w:sz w:val="20"/>
                <w:szCs w:val="20"/>
                <w:color w:val="auto"/>
              </w:rPr>
            </w:pPr>
            <w:r>
              <w:rPr>
                <w:rFonts w:ascii="Arial" w:cs="Arial" w:eastAsia="Arial" w:hAnsi="Arial"/>
                <w:sz w:val="14"/>
                <w:szCs w:val="14"/>
                <w:color w:val="auto"/>
              </w:rPr>
              <w:t>management, and federated identity.</w:t>
            </w:r>
          </w:p>
        </w:tc>
        <w:tc>
          <w:tcPr>
            <w:tcW w:w="22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100"/>
              <w:spacing w:after="0" w:line="139" w:lineRule="exact"/>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services</w:t>
            </w: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7"/>
              </w:rPr>
              <w:t>Administer the change management and</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GF will provide these services to</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control processes when deploying</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Company until an agreed date when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Genworth-wide infrastructure changes.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5"/>
              </w:rPr>
              <w:t>Company will assume responsibility</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6"/>
              </w:rPr>
              <w:t>(to include providing these services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to AUS MI, per Schedule B).</w:t>
            </w:r>
          </w:p>
        </w:tc>
        <w:tc>
          <w:tcPr>
            <w:tcW w:w="11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rPr>
              <w:t>Microsoft Teams</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Sharepoint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w w:val="93"/>
              </w:rPr>
              <w:t>Provide access to the company’s directory</w:t>
            </w:r>
          </w:p>
        </w:tc>
        <w:tc>
          <w:tcPr>
            <w:tcW w:w="224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Microsoft Identity Management</w:t>
            </w:r>
          </w:p>
        </w:tc>
        <w:tc>
          <w:tcPr>
            <w:tcW w:w="116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service application for network</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Office 365</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1"/>
              </w:rPr>
              <w:t>authentication and technology entitlements.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Active Directory</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26</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89"/>
              </w:rPr>
              <w:t>Collaboration technologies</w:t>
            </w: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Provide access to the company’s</w:t>
            </w:r>
          </w:p>
        </w:tc>
        <w:tc>
          <w:tcPr>
            <w:tcW w:w="2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7"/>
              </w:rPr>
              <w:t>collaboration suite, which includes email,</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GF will provide these services to</w:t>
            </w:r>
          </w:p>
        </w:tc>
        <w:tc>
          <w:tcPr>
            <w:tcW w:w="11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480" w:type="dxa"/>
            <w:vAlign w:val="bottom"/>
            <w:tcBorders>
              <w:left w:val="single" w:sz="8" w:color="auto"/>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vMerge w:val="continue"/>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email archival, instant message, video</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Company until an agreed date when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conferencing and document sharing</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5"/>
              </w:rPr>
              <w:t>Company will assume responsibility</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applications.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and</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8"/>
              </w:rPr>
              <w:t>provide them back to GF and AUS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MI (per Schedule B).</w:t>
            </w: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27</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Mainframe services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0"/>
              </w:rPr>
              <w:t>Provide access to the mainframe computing</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Atos</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480" w:type="dxa"/>
            <w:vAlign w:val="bottom"/>
            <w:tcBorders>
              <w:left w:val="single" w:sz="8" w:color="auto"/>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contract with AToS.</w:t>
            </w:r>
          </w:p>
        </w:tc>
        <w:tc>
          <w:tcPr>
            <w:tcW w:w="22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00"/>
          </w:cols>
          <w:pgMar w:left="300" w:top="1125" w:right="299" w:bottom="1440" w:gutter="0" w:footer="0" w:header="0"/>
        </w:sectPr>
      </w:pPr>
    </w:p>
    <w:bookmarkStart w:id="242" w:name="page243"/>
    <w:bookmarkEnd w:id="242"/>
    <w:tbl>
      <w:tblPr>
        <w:tblLayout w:type="fixed"/>
        <w:tblInd w:w="10" w:type="dxa"/>
        <w:tblCellMar>
          <w:top w:w="0" w:type="dxa"/>
          <w:left w:w="0" w:type="dxa"/>
          <w:bottom w:w="0" w:type="dxa"/>
          <w:right w:w="0" w:type="dxa"/>
        </w:tblCellMar>
      </w:tblPr>
      <w:tr>
        <w:trPr>
          <w:trHeight w:val="144"/>
        </w:trPr>
        <w:tc>
          <w:tcPr>
            <w:tcW w:w="480" w:type="dxa"/>
            <w:vAlign w:val="bottom"/>
            <w:tcBorders>
              <w:top w:val="single" w:sz="8" w:color="auto"/>
              <w:left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spacing w:after="0"/>
              <w:rPr>
                <w:sz w:val="12"/>
                <w:szCs w:val="12"/>
                <w:color w:val="auto"/>
              </w:rPr>
            </w:pPr>
          </w:p>
        </w:tc>
        <w:tc>
          <w:tcPr>
            <w:tcW w:w="2600" w:type="dxa"/>
            <w:vAlign w:val="bottom"/>
            <w:tcBorders>
              <w:top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w w:val="91"/>
              </w:rPr>
              <w:t>Provide space on the Genworth website for</w:t>
            </w:r>
          </w:p>
        </w:tc>
        <w:tc>
          <w:tcPr>
            <w:tcW w:w="224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28</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Internet portal</w:t>
            </w: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the Company products and services.</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Amazon web services</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Provide re-directs and links to the</w:t>
            </w:r>
          </w:p>
        </w:tc>
        <w:tc>
          <w:tcPr>
            <w:tcW w:w="22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480" w:type="dxa"/>
            <w:vAlign w:val="bottom"/>
            <w:tcBorders>
              <w:left w:val="single" w:sz="8" w:color="auto"/>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vMerge w:val="continue"/>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Company-managed internet sites.</w:t>
            </w:r>
          </w:p>
        </w:tc>
        <w:tc>
          <w:tcPr>
            <w:tcW w:w="2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Provide access to the internal application for</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LifeRay</w:t>
            </w: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left w:val="single" w:sz="8" w:color="auto"/>
              <w:right w:val="single" w:sz="8" w:color="auto"/>
            </w:tcBorders>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2600" w:type="dxa"/>
            <w:vAlign w:val="bottom"/>
            <w:tcBorders>
              <w:right w:val="single" w:sz="8" w:color="auto"/>
            </w:tcBorders>
            <w:vMerge w:val="restart"/>
          </w:tcPr>
          <w:p>
            <w:pPr>
              <w:ind w:left="100"/>
              <w:spacing w:after="0" w:line="155" w:lineRule="exact"/>
              <w:rPr>
                <w:sz w:val="20"/>
                <w:szCs w:val="20"/>
                <w:color w:val="auto"/>
              </w:rPr>
            </w:pPr>
            <w:r>
              <w:rPr>
                <w:rFonts w:ascii="Arial" w:cs="Arial" w:eastAsia="Arial" w:hAnsi="Arial"/>
                <w:sz w:val="14"/>
                <w:szCs w:val="14"/>
                <w:color w:val="auto"/>
                <w:w w:val="88"/>
              </w:rPr>
              <w:t>employees to receive company news, review</w:t>
            </w:r>
          </w:p>
        </w:tc>
        <w:tc>
          <w:tcPr>
            <w:tcW w:w="2240" w:type="dxa"/>
            <w:vAlign w:val="bottom"/>
            <w:tcBorders>
              <w:right w:val="single" w:sz="8" w:color="auto"/>
            </w:tcBorders>
            <w:vMerge w:val="continue"/>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520" w:type="dxa"/>
            <w:vAlign w:val="bottom"/>
            <w:tcBorders>
              <w:right w:val="single" w:sz="8" w:color="auto"/>
            </w:tcBorders>
            <w:vMerge w:val="restart"/>
          </w:tcPr>
          <w:p>
            <w:pPr>
              <w:ind w:left="100"/>
              <w:spacing w:after="0" w:line="155" w:lineRule="exact"/>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29</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Employee portal</w:t>
            </w: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MaxxPotential</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w w:val="88"/>
              </w:rPr>
              <w:t>company policies, and access information on</w:t>
            </w:r>
          </w:p>
        </w:tc>
        <w:tc>
          <w:tcPr>
            <w:tcW w:w="224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TCS</w:t>
            </w:r>
          </w:p>
        </w:tc>
        <w:tc>
          <w:tcPr>
            <w:tcW w:w="11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480" w:type="dxa"/>
            <w:vAlign w:val="bottom"/>
            <w:tcBorders>
              <w:left w:val="single" w:sz="8" w:color="auto"/>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2240" w:type="dxa"/>
            <w:vAlign w:val="bottom"/>
            <w:tcBorders>
              <w:right w:val="single" w:sz="8" w:color="auto"/>
            </w:tcBorders>
            <w:vMerge w:val="continue"/>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vMerge w:val="continue"/>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8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employee benefits and services.</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Sharepoint</w:t>
            </w:r>
          </w:p>
        </w:tc>
        <w:tc>
          <w:tcPr>
            <w:tcW w:w="116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9"/>
              </w:rPr>
              <w:t>Provide access to the Genworth applications</w:t>
            </w: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w w:val="97"/>
              </w:rPr>
              <w:t>TrinTech (AssureNet and Premium</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Pro)</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80" w:type="dxa"/>
            <w:vAlign w:val="bottom"/>
            <w:tcBorders>
              <w:left w:val="single" w:sz="8" w:color="auto"/>
              <w:right w:val="single" w:sz="8" w:color="auto"/>
            </w:tcBorders>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2600" w:type="dxa"/>
            <w:vAlign w:val="bottom"/>
            <w:tcBorders>
              <w:right w:val="single" w:sz="8" w:color="auto"/>
            </w:tcBorders>
            <w:vMerge w:val="restart"/>
          </w:tcPr>
          <w:p>
            <w:pPr>
              <w:ind w:left="100"/>
              <w:spacing w:after="0" w:line="155" w:lineRule="exact"/>
              <w:rPr>
                <w:sz w:val="20"/>
                <w:szCs w:val="20"/>
                <w:color w:val="auto"/>
              </w:rPr>
            </w:pPr>
            <w:r>
              <w:rPr>
                <w:rFonts w:ascii="Arial" w:cs="Arial" w:eastAsia="Arial" w:hAnsi="Arial"/>
                <w:sz w:val="14"/>
                <w:szCs w:val="14"/>
                <w:color w:val="auto"/>
                <w:w w:val="89"/>
              </w:rPr>
              <w:t>used in recording and managing Genworth's</w:t>
            </w:r>
          </w:p>
        </w:tc>
        <w:tc>
          <w:tcPr>
            <w:tcW w:w="2240" w:type="dxa"/>
            <w:vAlign w:val="bottom"/>
            <w:tcBorders>
              <w:right w:val="single" w:sz="8" w:color="auto"/>
            </w:tcBorders>
            <w:vMerge w:val="continue"/>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Oracle Hosted Solutions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 w:type="dxa"/>
            <w:vAlign w:val="bottom"/>
            <w:tcBorders>
              <w:left w:val="single" w:sz="8" w:color="auto"/>
              <w:right w:val="single" w:sz="8" w:color="auto"/>
            </w:tcBorders>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ind w:left="100"/>
              <w:spacing w:after="0" w:line="144" w:lineRule="exact"/>
              <w:rPr>
                <w:sz w:val="20"/>
                <w:szCs w:val="20"/>
                <w:color w:val="auto"/>
              </w:rPr>
            </w:pPr>
            <w:r>
              <w:rPr>
                <w:rFonts w:ascii="Arial" w:cs="Arial" w:eastAsia="Arial" w:hAnsi="Arial"/>
                <w:sz w:val="14"/>
                <w:szCs w:val="14"/>
                <w:color w:val="auto"/>
                <w:w w:val="91"/>
              </w:rPr>
              <w:t>financial performance. Included are general</w:t>
            </w:r>
          </w:p>
        </w:tc>
        <w:tc>
          <w:tcPr>
            <w:tcW w:w="2240" w:type="dxa"/>
            <w:vAlign w:val="bottom"/>
            <w:tcBorders>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Oracle ERP</w:t>
            </w:r>
          </w:p>
        </w:tc>
        <w:tc>
          <w:tcPr>
            <w:tcW w:w="11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30</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Finance systems</w:t>
            </w: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accounting (Accounts payable, general</w:t>
            </w:r>
          </w:p>
        </w:tc>
        <w:tc>
          <w:tcPr>
            <w:tcW w:w="2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MaxxPotential</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4 and 6</w:t>
            </w:r>
          </w:p>
        </w:tc>
        <w:tc>
          <w:tcPr>
            <w:tcW w:w="0" w:type="dxa"/>
            <w:vAlign w:val="bottom"/>
          </w:tcPr>
          <w:p>
            <w:pPr>
              <w:spacing w:after="0"/>
              <w:rPr>
                <w:sz w:val="1"/>
                <w:szCs w:val="1"/>
                <w:color w:val="auto"/>
              </w:rPr>
            </w:pPr>
          </w:p>
        </w:tc>
      </w:tr>
      <w:tr>
        <w:trPr>
          <w:trHeight w:val="123"/>
        </w:trPr>
        <w:tc>
          <w:tcPr>
            <w:tcW w:w="4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260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Cedent</w:t>
            </w:r>
          </w:p>
        </w:tc>
        <w:tc>
          <w:tcPr>
            <w:tcW w:w="116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w w:val="97"/>
              </w:rPr>
              <w:t>ledger, accounts receivable, purchase order</w:t>
            </w:r>
          </w:p>
        </w:tc>
        <w:tc>
          <w:tcPr>
            <w:tcW w:w="224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SAP (Concur)</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with historical practice</w:t>
            </w: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48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processing), financial reporting, cash</w:t>
            </w:r>
          </w:p>
        </w:tc>
        <w:tc>
          <w:tcPr>
            <w:tcW w:w="2240" w:type="dxa"/>
            <w:vAlign w:val="bottom"/>
            <w:tcBorders>
              <w:right w:val="single" w:sz="8" w:color="auto"/>
            </w:tcBorders>
            <w:vMerge w:val="continue"/>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Costar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management, budgeting, account</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Kofax (Markview)</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0"/>
              </w:rPr>
              <w:t>reconciliation, SEC filings, and tax systems.</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IBM (TM1)</w:t>
            </w: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0" w:type="dxa"/>
            <w:vAlign w:val="bottom"/>
            <w:tcBorders>
              <w:left w:val="single" w:sz="8" w:color="auto"/>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FIS (Treasury)</w:t>
            </w:r>
          </w:p>
        </w:tc>
        <w:tc>
          <w:tcPr>
            <w:tcW w:w="11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Provide access to the Genworth applications</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used in managing employee and contractor</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31</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88"/>
              </w:rPr>
              <w:t>Human Resources systems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3"/>
              </w:rPr>
              <w:t>information, including employee attributes,</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8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4"/>
                <w:szCs w:val="14"/>
                <w:color w:val="auto"/>
                <w:w w:val="88"/>
              </w:rPr>
              <w:t>contractor attributes, organization structures,</w:t>
            </w:r>
          </w:p>
        </w:tc>
        <w:tc>
          <w:tcPr>
            <w:tcW w:w="224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4"/>
                <w:szCs w:val="14"/>
                <w:color w:val="auto"/>
              </w:rPr>
              <w:t>Workday</w:t>
            </w:r>
          </w:p>
        </w:tc>
        <w:tc>
          <w:tcPr>
            <w:tcW w:w="116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4"/>
                <w:szCs w:val="14"/>
                <w:color w:val="auto"/>
              </w:rPr>
              <w:t>COH</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4"/>
                <w:szCs w:val="14"/>
                <w:color w:val="auto"/>
              </w:rPr>
              <w:t>59, 60, 61, and 63</w:t>
            </w: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4"/>
              </w:rPr>
              <w:t>performance management, compensation</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8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vMerge w:val="continue"/>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2"/>
              </w:rPr>
              <w:t>planning, employee training, and employee</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payroll services</w:t>
            </w:r>
          </w:p>
        </w:tc>
        <w:tc>
          <w:tcPr>
            <w:tcW w:w="22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00"/>
          </w:cols>
          <w:pgMar w:left="300" w:top="1125" w:right="299" w:bottom="1440" w:gutter="0" w:footer="0" w:header="0"/>
        </w:sectPr>
      </w:pPr>
    </w:p>
    <w:bookmarkStart w:id="243" w:name="page244"/>
    <w:bookmarkEnd w:id="243"/>
    <w:tbl>
      <w:tblPr>
        <w:tblLayout w:type="fixed"/>
        <w:tblInd w:w="10" w:type="dxa"/>
        <w:tblCellMar>
          <w:top w:w="0" w:type="dxa"/>
          <w:left w:w="0" w:type="dxa"/>
          <w:bottom w:w="0" w:type="dxa"/>
          <w:right w:w="0" w:type="dxa"/>
        </w:tblCellMar>
      </w:tblPr>
      <w:tr>
        <w:trPr>
          <w:trHeight w:val="144"/>
        </w:trPr>
        <w:tc>
          <w:tcPr>
            <w:tcW w:w="480" w:type="dxa"/>
            <w:vAlign w:val="bottom"/>
            <w:tcBorders>
              <w:top w:val="single" w:sz="8" w:color="auto"/>
              <w:left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spacing w:after="0"/>
              <w:rPr>
                <w:sz w:val="12"/>
                <w:szCs w:val="12"/>
                <w:color w:val="auto"/>
              </w:rPr>
            </w:pPr>
          </w:p>
        </w:tc>
        <w:tc>
          <w:tcPr>
            <w:tcW w:w="2600" w:type="dxa"/>
            <w:vAlign w:val="bottom"/>
            <w:tcBorders>
              <w:top w:val="single" w:sz="8" w:color="auto"/>
              <w:right w:val="single" w:sz="8" w:color="auto"/>
            </w:tcBorders>
          </w:tcPr>
          <w:p>
            <w:pPr>
              <w:spacing w:after="0"/>
              <w:rPr>
                <w:sz w:val="12"/>
                <w:szCs w:val="12"/>
                <w:color w:val="auto"/>
              </w:rPr>
            </w:pPr>
          </w:p>
        </w:tc>
        <w:tc>
          <w:tcPr>
            <w:tcW w:w="2240" w:type="dxa"/>
            <w:vAlign w:val="bottom"/>
            <w:tcBorders>
              <w:top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LIMS (Litigation)</w:t>
            </w: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9"/>
              </w:rPr>
              <w:t>Provide access to the Genworth applications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AIMS (Billing)</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32</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Risk and Legal systems</w:t>
            </w: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Passport (replacing LIMS/AIMS)</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used in managing legal invoicing and</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4"/>
              </w:rPr>
              <w:t>Barrie &amp; Hibbert Scenario generator</w:t>
            </w:r>
          </w:p>
        </w:tc>
        <w:tc>
          <w:tcPr>
            <w:tcW w:w="116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engagement workflows.</w:t>
            </w:r>
          </w:p>
        </w:tc>
        <w:tc>
          <w:tcPr>
            <w:tcW w:w="224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(Economic scenario generator)</w:t>
            </w:r>
          </w:p>
        </w:tc>
        <w:tc>
          <w:tcPr>
            <w:tcW w:w="116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GEMS (Legal entity management</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system)</w:t>
            </w: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Negotiate and administer contracts with</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33</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Sourcing</w:t>
            </w:r>
          </w:p>
        </w:tc>
        <w:tc>
          <w:tcPr>
            <w:tcW w:w="260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w w:val="88"/>
              </w:rPr>
              <w:t>suppliers. Oversee the supplier management</w:t>
            </w:r>
          </w:p>
        </w:tc>
        <w:tc>
          <w:tcPr>
            <w:tcW w:w="224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Ariba</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process, including the creation of</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CastleHill</w:t>
            </w:r>
          </w:p>
        </w:tc>
        <w:tc>
          <w:tcPr>
            <w:tcW w:w="11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260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management oversight reports.</w:t>
            </w:r>
          </w:p>
        </w:tc>
        <w:tc>
          <w:tcPr>
            <w:tcW w:w="22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34</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Filenet</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Provide access to Filenet licenses.</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IBM</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480" w:type="dxa"/>
            <w:vAlign w:val="bottom"/>
            <w:tcBorders>
              <w:left w:val="single" w:sz="8" w:color="auto"/>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4"/>
                <w:szCs w:val="14"/>
                <w:color w:val="auto"/>
              </w:rPr>
              <w:t>VMWare</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w w:val="96"/>
              </w:rPr>
              <w:t>Manage the computing resources hosted</w:t>
            </w:r>
          </w:p>
        </w:tc>
        <w:tc>
          <w:tcPr>
            <w:tcW w:w="224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RedHat</w:t>
            </w:r>
          </w:p>
        </w:tc>
        <w:tc>
          <w:tcPr>
            <w:tcW w:w="116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2"/>
              </w:rPr>
              <w:t>within Genworth's on-premise data centers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(operating system and</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(Lynchburg, Raleigh, and Blythewood).</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patch management software)</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Ensure that physical security and data</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Commvault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center access is administered in a manner</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SolarWinds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consistent with company policy.</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QAS authentication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5"/>
              </w:rPr>
              <w:t>Provide administration of server, network,</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Randstad</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35</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Datacenter Services</w:t>
            </w: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and storage hardware. Deploy security</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Compuware</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w w:val="91"/>
              </w:rPr>
              <w:t>patches in manners that are consistent with</w:t>
            </w:r>
          </w:p>
        </w:tc>
        <w:tc>
          <w:tcPr>
            <w:tcW w:w="224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AToS</w:t>
            </w:r>
          </w:p>
        </w:tc>
        <w:tc>
          <w:tcPr>
            <w:tcW w:w="11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vMerge w:val="continue"/>
          </w:tcPr>
          <w:p>
            <w:pPr>
              <w:spacing w:after="0"/>
              <w:rPr>
                <w:sz w:val="2"/>
                <w:szCs w:val="2"/>
                <w:color w:val="auto"/>
              </w:rPr>
            </w:pPr>
          </w:p>
        </w:tc>
        <w:tc>
          <w:tcPr>
            <w:tcW w:w="2240" w:type="dxa"/>
            <w:vAlign w:val="bottom"/>
            <w:tcBorders>
              <w:right w:val="single" w:sz="8" w:color="auto"/>
            </w:tcBorders>
            <w:vMerge w:val="continue"/>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6"/>
              </w:rPr>
              <w:t>security policy and mutually agreed upon</w:t>
            </w:r>
          </w:p>
        </w:tc>
        <w:tc>
          <w:tcPr>
            <w:tcW w:w="2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NetApps</w:t>
            </w: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change control protocols.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Isilon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Execute backups of the Company data.</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Oracle (servers)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0"/>
              </w:rPr>
              <w:t>Provide assistance during disaster recovery</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Cisco (network and servers)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2"/>
              </w:rPr>
              <w:t>drills as directed by the Company. Execute</w:t>
            </w:r>
          </w:p>
        </w:tc>
        <w:tc>
          <w:tcPr>
            <w:tcW w:w="2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the Company recovery plans if a disaster is</w:t>
            </w: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GF will provide these services to</w:t>
            </w: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invoked.</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Company until an agreed date when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3"/>
              </w:rPr>
              <w:t>Company will assume responsibility.</w:t>
            </w: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00" w:top="1125" w:right="29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 w:hanging="410"/>
        <w:spacing w:after="0" w:line="181" w:lineRule="auto"/>
        <w:tabs>
          <w:tab w:leader="none" w:pos="410" w:val="left"/>
        </w:tabs>
        <w:numPr>
          <w:ilvl w:val="0"/>
          <w:numId w:val="147"/>
        </w:numPr>
        <w:rPr>
          <w:rFonts w:ascii="Arial" w:cs="Arial" w:eastAsia="Arial" w:hAnsi="Arial"/>
          <w:sz w:val="26"/>
          <w:szCs w:val="26"/>
          <w:b w:val="1"/>
          <w:bCs w:val="1"/>
          <w:color w:val="auto"/>
          <w:vertAlign w:val="subscript"/>
        </w:rPr>
      </w:pPr>
      <w:r>
        <w:rPr>
          <w:rFonts w:ascii="Arial" w:cs="Arial" w:eastAsia="Arial" w:hAnsi="Arial"/>
          <w:sz w:val="13"/>
          <w:szCs w:val="13"/>
          <w:b w:val="1"/>
          <w:bCs w:val="1"/>
          <w:color w:val="auto"/>
        </w:rPr>
        <w:t>Network and network security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216" w:lineRule="auto"/>
        <w:rPr>
          <w:sz w:val="20"/>
          <w:szCs w:val="20"/>
          <w:color w:val="auto"/>
        </w:rPr>
      </w:pPr>
      <w:r>
        <w:rPr>
          <w:rFonts w:ascii="Arial" w:cs="Arial" w:eastAsia="Arial" w:hAnsi="Arial"/>
          <w:sz w:val="13"/>
          <w:szCs w:val="13"/>
          <w:color w:val="auto"/>
        </w:rPr>
        <w:t>Administration of computing resources which enable Genworth to securely exchange electronic information both internally and externally. Includes local-area network (LAN), wide-area network (WAN), and the network operations center (NOC). Provides access to the remote access system.</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1"/>
          <w:szCs w:val="11"/>
          <w:color w:val="auto"/>
        </w:rPr>
        <w:t>Provide network access to the Company’s cloud computing environments.</w:t>
      </w:r>
    </w:p>
    <w:p>
      <w:pPr>
        <w:spacing w:after="0" w:line="253" w:lineRule="auto"/>
        <w:rPr>
          <w:sz w:val="20"/>
          <w:szCs w:val="20"/>
          <w:color w:val="auto"/>
        </w:rPr>
      </w:pPr>
      <w:r>
        <w:rPr>
          <w:rFonts w:ascii="Arial" w:cs="Arial" w:eastAsia="Arial" w:hAnsi="Arial"/>
          <w:sz w:val="11"/>
          <w:szCs w:val="11"/>
          <w:color w:val="auto"/>
        </w:rPr>
        <w:t>Provide access to the network infrastructure to enable information exchanges between the Company and third Parties.</w:t>
      </w:r>
    </w:p>
    <w:p>
      <w:pPr>
        <w:ind w:right="100"/>
        <w:spacing w:after="0" w:line="219" w:lineRule="auto"/>
        <w:rPr>
          <w:sz w:val="20"/>
          <w:szCs w:val="20"/>
          <w:color w:val="auto"/>
        </w:rPr>
      </w:pPr>
      <w:r>
        <w:rPr>
          <w:rFonts w:ascii="Arial" w:cs="Arial" w:eastAsia="Arial" w:hAnsi="Arial"/>
          <w:sz w:val="13"/>
          <w:szCs w:val="13"/>
          <w:color w:val="auto"/>
        </w:rPr>
        <w:t>Network security includes data loss prevention, URL filtering, firewall, and intrusion prevention administration. Network security administers the Security Events and Information Manger system (SEIM). The SEIM is used by Security Operations Center to identify potential security incidents.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Neustar</w:t>
            </w: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Cisco</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Randstand</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MoJo AirTight (WIPS)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PaloAlto</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RSA (secure tokens)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Forcepoint (URL filterning)</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Solarwinds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Scrutinizer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NOVA</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Tuffin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0"/>
              </w:rPr>
              <w:t>Calculated in accordance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140" w:type="dxa"/>
            <w:vAlign w:val="bottom"/>
            <w:tcBorders>
              <w:right w:val="single" w:sz="8" w:color="auto"/>
            </w:tcBorders>
            <w:vMerge w:val="restart"/>
          </w:tcPr>
          <w:p>
            <w:pPr>
              <w:spacing w:after="0" w:line="154" w:lineRule="exact"/>
              <w:rPr>
                <w:sz w:val="20"/>
                <w:szCs w:val="20"/>
                <w:color w:val="auto"/>
              </w:rPr>
            </w:pPr>
            <w:r>
              <w:rPr>
                <w:rFonts w:ascii="Arial" w:cs="Arial" w:eastAsia="Arial" w:hAnsi="Arial"/>
                <w:sz w:val="14"/>
                <w:szCs w:val="14"/>
                <w:color w:val="auto"/>
              </w:rPr>
              <w:t>SkyHigh</w:t>
            </w:r>
          </w:p>
        </w:tc>
        <w:tc>
          <w:tcPr>
            <w:tcW w:w="1160" w:type="dxa"/>
            <w:vAlign w:val="bottom"/>
            <w:tcBorders>
              <w:right w:val="single" w:sz="8" w:color="auto"/>
            </w:tcBorders>
            <w:vMerge w:val="restart"/>
          </w:tcPr>
          <w:p>
            <w:pPr>
              <w:ind w:left="100"/>
              <w:spacing w:after="0" w:line="154" w:lineRule="exact"/>
              <w:rPr>
                <w:sz w:val="20"/>
                <w:szCs w:val="20"/>
                <w:color w:val="auto"/>
              </w:rPr>
            </w:pPr>
            <w:r>
              <w:rPr>
                <w:rFonts w:ascii="Arial" w:cs="Arial" w:eastAsia="Arial" w:hAnsi="Arial"/>
                <w:sz w:val="14"/>
                <w:szCs w:val="14"/>
                <w:color w:val="auto"/>
              </w:rPr>
              <w:t>Direct Bill</w:t>
            </w:r>
          </w:p>
        </w:tc>
        <w:tc>
          <w:tcPr>
            <w:tcW w:w="1520" w:type="dxa"/>
            <w:vAlign w:val="bottom"/>
            <w:tcBorders>
              <w:right w:val="single" w:sz="8" w:color="auto"/>
            </w:tcBorders>
            <w:vMerge w:val="continue"/>
          </w:tcPr>
          <w:p>
            <w:pPr>
              <w:spacing w:after="0"/>
              <w:rPr>
                <w:sz w:val="8"/>
                <w:szCs w:val="8"/>
                <w:color w:val="auto"/>
              </w:rPr>
            </w:pPr>
          </w:p>
        </w:tc>
        <w:tc>
          <w:tcPr>
            <w:tcW w:w="220" w:type="dxa"/>
            <w:vAlign w:val="bottom"/>
            <w:vMerge w:val="restart"/>
          </w:tcPr>
          <w:p>
            <w:pPr>
              <w:jc w:val="right"/>
              <w:spacing w:after="0" w:line="154"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52"/>
        </w:trPr>
        <w:tc>
          <w:tcPr>
            <w:tcW w:w="214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with historical practice</w:t>
            </w: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140" w:type="dxa"/>
            <w:vAlign w:val="bottom"/>
            <w:tcBorders>
              <w:right w:val="single" w:sz="8" w:color="auto"/>
            </w:tcBorders>
          </w:tcPr>
          <w:p>
            <w:pPr>
              <w:spacing w:after="0" w:line="113" w:lineRule="exact"/>
              <w:rPr>
                <w:sz w:val="20"/>
                <w:szCs w:val="20"/>
                <w:color w:val="auto"/>
              </w:rPr>
            </w:pPr>
            <w:r>
              <w:rPr>
                <w:rFonts w:ascii="Arial" w:cs="Arial" w:eastAsia="Arial" w:hAnsi="Arial"/>
                <w:sz w:val="13"/>
                <w:szCs w:val="13"/>
                <w:color w:val="auto"/>
              </w:rPr>
              <w:t>Forescout (NAC)</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Infloblox</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Cisco Umbrella OpenDNS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Akips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ForcePoint (DLP endpoints)</w:t>
            </w:r>
          </w:p>
        </w:tc>
        <w:tc>
          <w:tcPr>
            <w:tcW w:w="11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1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GF will provide these services to</w:t>
            </w:r>
          </w:p>
        </w:tc>
        <w:tc>
          <w:tcPr>
            <w:tcW w:w="11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w w:val="93"/>
              </w:rPr>
              <w:t>Company until an agreed date when</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w w:val="95"/>
              </w:rPr>
              <w:t>Company will assume responsibility</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w w:val="96"/>
              </w:rPr>
              <w:t>(to include providing these services</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to AUS MI, per Schedule B).</w:t>
            </w:r>
          </w:p>
        </w:tc>
        <w:tc>
          <w:tcPr>
            <w:tcW w:w="116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-2018665</wp:posOffset>
            </wp:positionV>
            <wp:extent cx="7171690" cy="20193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71690" cy="2019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690" w:space="480"/>
            <w:col w:w="2400" w:space="200"/>
            <w:col w:w="5219"/>
          </w:cols>
          <w:pgMar w:left="470" w:top="11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9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990"/>
          </w:cols>
          <w:pgMar w:left="470" w:top="1127" w:right="1440" w:bottom="1440" w:gutter="0" w:footer="0" w:header="0"/>
          <w:type w:val="continuous"/>
        </w:sectPr>
      </w:pPr>
    </w:p>
    <w:bookmarkStart w:id="245" w:name="page246"/>
    <w:bookmarkEnd w:id="245"/>
    <w:tbl>
      <w:tblPr>
        <w:tblLayout w:type="fixed"/>
        <w:tblInd w:w="10" w:type="dxa"/>
        <w:tblCellMar>
          <w:top w:w="0" w:type="dxa"/>
          <w:left w:w="0" w:type="dxa"/>
          <w:bottom w:w="0" w:type="dxa"/>
          <w:right w:w="0" w:type="dxa"/>
        </w:tblCellMar>
      </w:tblPr>
      <w:tr>
        <w:trPr>
          <w:trHeight w:val="144"/>
        </w:trPr>
        <w:tc>
          <w:tcPr>
            <w:tcW w:w="480" w:type="dxa"/>
            <w:vAlign w:val="bottom"/>
            <w:tcBorders>
              <w:top w:val="single" w:sz="8" w:color="auto"/>
              <w:left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spacing w:after="0"/>
              <w:rPr>
                <w:sz w:val="12"/>
                <w:szCs w:val="12"/>
                <w:color w:val="auto"/>
              </w:rPr>
            </w:pPr>
          </w:p>
        </w:tc>
        <w:tc>
          <w:tcPr>
            <w:tcW w:w="2600" w:type="dxa"/>
            <w:vAlign w:val="bottom"/>
            <w:tcBorders>
              <w:top w:val="single" w:sz="8" w:color="auto"/>
              <w:right w:val="single" w:sz="8" w:color="auto"/>
            </w:tcBorders>
          </w:tcPr>
          <w:p>
            <w:pPr>
              <w:ind w:left="100"/>
              <w:spacing w:after="0" w:line="144" w:lineRule="exact"/>
              <w:rPr>
                <w:sz w:val="20"/>
                <w:szCs w:val="20"/>
                <w:color w:val="auto"/>
              </w:rPr>
            </w:pPr>
            <w:r>
              <w:rPr>
                <w:rFonts w:ascii="Arial" w:cs="Arial" w:eastAsia="Arial" w:hAnsi="Arial"/>
                <w:sz w:val="14"/>
                <w:szCs w:val="14"/>
                <w:color w:val="auto"/>
                <w:w w:val="96"/>
              </w:rPr>
              <w:t>Provide access to the Computer Security</w:t>
            </w:r>
          </w:p>
        </w:tc>
        <w:tc>
          <w:tcPr>
            <w:tcW w:w="224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1"/>
              </w:rPr>
              <w:t>Incident and Response Team (CSIRT). The</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CyberArk (password vault)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team Identifies, analyzes, and responds to</w:t>
            </w:r>
          </w:p>
        </w:tc>
        <w:tc>
          <w:tcPr>
            <w:tcW w:w="224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9"/>
              </w:rPr>
              <w:t>security incidents. CSIRT acts as a first-</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IBM (Qradar)</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4"/>
              </w:rPr>
              <w:t>response unit when addressing confirmed</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Sailpoint</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incident incidents.</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Randstad</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35 and 36, which are</w:t>
            </w:r>
          </w:p>
        </w:tc>
        <w:tc>
          <w:tcPr>
            <w:tcW w:w="0" w:type="dxa"/>
            <w:vAlign w:val="bottom"/>
          </w:tcPr>
          <w:p>
            <w:pPr>
              <w:spacing w:after="0"/>
              <w:rPr>
                <w:sz w:val="1"/>
                <w:szCs w:val="1"/>
                <w:color w:val="auto"/>
              </w:rPr>
            </w:pPr>
          </w:p>
        </w:tc>
      </w:tr>
      <w:tr>
        <w:trPr>
          <w:trHeight w:val="113"/>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37</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1"/>
              </w:rPr>
              <w:t>Security operations center</w:t>
            </w:r>
          </w:p>
        </w:tc>
        <w:tc>
          <w:tcPr>
            <w:tcW w:w="26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ind w:left="100"/>
              <w:spacing w:after="0" w:line="113" w:lineRule="exact"/>
              <w:rPr>
                <w:sz w:val="20"/>
                <w:szCs w:val="20"/>
                <w:color w:val="auto"/>
              </w:rPr>
            </w:pPr>
            <w:r>
              <w:rPr>
                <w:rFonts w:ascii="Arial" w:cs="Arial" w:eastAsia="Arial" w:hAnsi="Arial"/>
                <w:sz w:val="13"/>
                <w:szCs w:val="13"/>
                <w:color w:val="auto"/>
              </w:rPr>
              <w:t>Raytheon</w:t>
            </w:r>
          </w:p>
        </w:tc>
        <w:tc>
          <w:tcPr>
            <w:tcW w:w="1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9"/>
              </w:rPr>
              <w:t>Response includes escalation to the security</w:t>
            </w:r>
          </w:p>
        </w:tc>
        <w:tc>
          <w:tcPr>
            <w:tcW w:w="224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GreyNoise</w:t>
            </w:r>
          </w:p>
        </w:tc>
        <w:tc>
          <w:tcPr>
            <w:tcW w:w="11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vMerge w:val="restart"/>
          </w:tcPr>
          <w:p>
            <w:pPr>
              <w:ind w:left="80"/>
              <w:spacing w:after="0" w:line="144" w:lineRule="exact"/>
              <w:rPr>
                <w:sz w:val="20"/>
                <w:szCs w:val="20"/>
                <w:color w:val="auto"/>
              </w:rPr>
            </w:pPr>
            <w:r>
              <w:rPr>
                <w:rFonts w:ascii="Arial" w:cs="Arial" w:eastAsia="Arial" w:hAnsi="Arial"/>
                <w:sz w:val="14"/>
                <w:szCs w:val="14"/>
                <w:color w:val="auto"/>
              </w:rPr>
              <w:t>dependent on 20.</w:t>
            </w:r>
          </w:p>
        </w:tc>
        <w:tc>
          <w:tcPr>
            <w:tcW w:w="0" w:type="dxa"/>
            <w:vAlign w:val="bottom"/>
          </w:tcPr>
          <w:p>
            <w:pPr>
              <w:spacing w:after="0"/>
              <w:rPr>
                <w:sz w:val="1"/>
                <w:szCs w:val="1"/>
                <w:color w:val="auto"/>
              </w:rPr>
            </w:pPr>
          </w:p>
        </w:tc>
      </w:tr>
      <w:tr>
        <w:trPr>
          <w:trHeight w:val="32"/>
        </w:trPr>
        <w:tc>
          <w:tcPr>
            <w:tcW w:w="48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vMerge w:val="continue"/>
          </w:tcPr>
          <w:p>
            <w:pPr>
              <w:spacing w:after="0"/>
              <w:rPr>
                <w:sz w:val="2"/>
                <w:szCs w:val="2"/>
                <w:color w:val="auto"/>
              </w:rPr>
            </w:pPr>
          </w:p>
        </w:tc>
        <w:tc>
          <w:tcPr>
            <w:tcW w:w="2240" w:type="dxa"/>
            <w:vAlign w:val="bottom"/>
            <w:tcBorders>
              <w:right w:val="single" w:sz="8" w:color="auto"/>
            </w:tcBorders>
            <w:vMerge w:val="continue"/>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vMerge w:val="restart"/>
          </w:tcPr>
          <w:p>
            <w:pPr>
              <w:ind w:left="100"/>
              <w:spacing w:after="0" w:line="123" w:lineRule="exact"/>
              <w:rPr>
                <w:sz w:val="20"/>
                <w:szCs w:val="20"/>
                <w:color w:val="auto"/>
              </w:rPr>
            </w:pPr>
            <w:r>
              <w:rPr>
                <w:rFonts w:ascii="Arial" w:cs="Arial" w:eastAsia="Arial" w:hAnsi="Arial"/>
                <w:sz w:val="14"/>
                <w:szCs w:val="14"/>
                <w:color w:val="auto"/>
              </w:rPr>
              <w:t>Zerofox</w:t>
            </w: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oversight team when appropriate.</w:t>
            </w:r>
          </w:p>
        </w:tc>
        <w:tc>
          <w:tcPr>
            <w:tcW w:w="22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8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RecordedFuture</w:t>
            </w:r>
          </w:p>
        </w:tc>
        <w:tc>
          <w:tcPr>
            <w:tcW w:w="11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80" w:type="dxa"/>
            <w:vAlign w:val="bottom"/>
            <w:tcBorders>
              <w:left w:val="single" w:sz="8" w:color="auto"/>
              <w:right w:val="single" w:sz="8" w:color="auto"/>
            </w:tcBorders>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Identify and report any misuse of the</w:t>
            </w: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MaxMind</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Cofense</w:t>
            </w:r>
          </w:p>
        </w:tc>
        <w:tc>
          <w:tcPr>
            <w:tcW w:w="11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8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3"/>
              </w:rPr>
              <w:t>Company or Genworth branding, including</w:t>
            </w:r>
          </w:p>
        </w:tc>
        <w:tc>
          <w:tcPr>
            <w:tcW w:w="22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domain names.</w:t>
            </w:r>
          </w:p>
        </w:tc>
        <w:tc>
          <w:tcPr>
            <w:tcW w:w="22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38</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Information technology</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The recruitment, training, and administration</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87"/>
              </w:rPr>
              <w:t>Calculated in accordance</w:t>
            </w: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8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4"/>
                <w:szCs w:val="14"/>
                <w:color w:val="auto"/>
                <w:w w:val="96"/>
              </w:rPr>
              <w:t>of ITDP members and interns. Eligible for</w:t>
            </w:r>
          </w:p>
        </w:tc>
        <w:tc>
          <w:tcPr>
            <w:tcW w:w="224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4"/>
                <w:szCs w:val="14"/>
                <w:color w:val="auto"/>
              </w:rPr>
              <w:t>NA</w:t>
            </w:r>
          </w:p>
        </w:tc>
        <w:tc>
          <w:tcPr>
            <w:tcW w:w="116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4"/>
                <w:szCs w:val="14"/>
                <w:color w:val="auto"/>
              </w:rPr>
              <w:t>COH</w:t>
            </w: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development program</w:t>
            </w:r>
          </w:p>
        </w:tc>
        <w:tc>
          <w:tcPr>
            <w:tcW w:w="2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ITDP and summer intern assignments.</w:t>
            </w:r>
          </w:p>
        </w:tc>
        <w:tc>
          <w:tcPr>
            <w:tcW w:w="22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with historical practice</w:t>
            </w: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00"/>
          </w:cols>
          <w:pgMar w:left="300" w:top="1125" w:right="299" w:bottom="1440" w:gutter="0" w:footer="0" w:header="0"/>
        </w:sectPr>
      </w:pPr>
    </w:p>
    <w:bookmarkStart w:id="246" w:name="page247"/>
    <w:bookmarkEnd w:id="246"/>
    <w:p>
      <w:pPr>
        <w:spacing w:after="0"/>
        <w:rPr>
          <w:sz w:val="20"/>
          <w:szCs w:val="20"/>
          <w:color w:val="auto"/>
        </w:rPr>
      </w:pPr>
      <w:r>
        <w:rPr>
          <w:rFonts w:ascii="Arial" w:cs="Arial" w:eastAsia="Arial" w:hAnsi="Arial"/>
          <w:sz w:val="14"/>
          <w:szCs w:val="14"/>
          <w:b w:val="1"/>
          <w:bCs w:val="1"/>
          <w:color w:val="auto"/>
        </w:rPr>
        <w:t>Risk</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48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Arial" w:cs="Arial" w:eastAsia="Arial" w:hAnsi="Arial"/>
                <w:sz w:val="14"/>
                <w:szCs w:val="14"/>
                <w:b w:val="1"/>
                <w:bCs w:val="1"/>
                <w:color w:val="auto"/>
              </w:rPr>
              <w:t>#</w:t>
            </w:r>
          </w:p>
        </w:tc>
        <w:tc>
          <w:tcPr>
            <w:tcW w:w="1460" w:type="dxa"/>
            <w:vAlign w:val="bottom"/>
            <w:tcBorders>
              <w:top w:val="single" w:sz="8" w:color="auto"/>
              <w:right w:val="single" w:sz="8" w:color="auto"/>
            </w:tcBorders>
            <w:vMerge w:val="restart"/>
            <w:shd w:val="clear" w:color="auto" w:fill="C6D9F1"/>
          </w:tcPr>
          <w:p>
            <w:pPr>
              <w:ind w:left="220"/>
              <w:spacing w:after="0"/>
              <w:rPr>
                <w:sz w:val="20"/>
                <w:szCs w:val="20"/>
                <w:color w:val="auto"/>
              </w:rPr>
            </w:pPr>
            <w:r>
              <w:rPr>
                <w:rFonts w:ascii="Arial" w:cs="Arial" w:eastAsia="Arial" w:hAnsi="Arial"/>
                <w:sz w:val="14"/>
                <w:szCs w:val="14"/>
                <w:b w:val="1"/>
                <w:bCs w:val="1"/>
                <w:color w:val="auto"/>
              </w:rPr>
              <w:t>Service Category</w:t>
            </w:r>
          </w:p>
        </w:tc>
        <w:tc>
          <w:tcPr>
            <w:tcW w:w="2480" w:type="dxa"/>
            <w:vAlign w:val="bottom"/>
            <w:tcBorders>
              <w:top w:val="single" w:sz="8" w:color="auto"/>
              <w:right w:val="single" w:sz="8" w:color="auto"/>
            </w:tcBorders>
            <w:vMerge w:val="restart"/>
            <w:shd w:val="clear" w:color="auto" w:fill="C6D9F1"/>
          </w:tcPr>
          <w:p>
            <w:pPr>
              <w:ind w:left="560"/>
              <w:spacing w:after="0"/>
              <w:rPr>
                <w:sz w:val="20"/>
                <w:szCs w:val="20"/>
                <w:color w:val="auto"/>
              </w:rPr>
            </w:pPr>
            <w:r>
              <w:rPr>
                <w:rFonts w:ascii="Arial" w:cs="Arial" w:eastAsia="Arial" w:hAnsi="Arial"/>
                <w:sz w:val="14"/>
                <w:szCs w:val="14"/>
                <w:b w:val="1"/>
                <w:bCs w:val="1"/>
                <w:color w:val="auto"/>
              </w:rPr>
              <w:t>Description of Services</w:t>
            </w:r>
          </w:p>
        </w:tc>
        <w:tc>
          <w:tcPr>
            <w:tcW w:w="2080" w:type="dxa"/>
            <w:vAlign w:val="bottom"/>
            <w:tcBorders>
              <w:top w:val="single" w:sz="8" w:color="auto"/>
              <w:right w:val="single" w:sz="8" w:color="auto"/>
            </w:tcBorders>
            <w:vMerge w:val="restart"/>
            <w:shd w:val="clear" w:color="auto" w:fill="C6D9F1"/>
          </w:tcPr>
          <w:p>
            <w:pPr>
              <w:ind w:left="340"/>
              <w:spacing w:after="0"/>
              <w:rPr>
                <w:sz w:val="20"/>
                <w:szCs w:val="20"/>
                <w:color w:val="auto"/>
              </w:rPr>
            </w:pPr>
            <w:r>
              <w:rPr>
                <w:rFonts w:ascii="Arial" w:cs="Arial" w:eastAsia="Arial" w:hAnsi="Arial"/>
                <w:sz w:val="14"/>
                <w:szCs w:val="14"/>
                <w:b w:val="1"/>
                <w:bCs w:val="1"/>
                <w:color w:val="auto"/>
              </w:rPr>
              <w:t>Additional Information</w:t>
            </w:r>
          </w:p>
        </w:tc>
        <w:tc>
          <w:tcPr>
            <w:tcW w:w="1100" w:type="dxa"/>
            <w:vAlign w:val="bottom"/>
            <w:tcBorders>
              <w:top w:val="single" w:sz="8" w:color="auto"/>
              <w:right w:val="single" w:sz="8" w:color="auto"/>
            </w:tcBorders>
            <w:vMerge w:val="restart"/>
            <w:shd w:val="clear" w:color="auto" w:fill="C6D9F1"/>
          </w:tcPr>
          <w:p>
            <w:pPr>
              <w:ind w:left="140"/>
              <w:spacing w:after="0"/>
              <w:rPr>
                <w:sz w:val="20"/>
                <w:szCs w:val="20"/>
                <w:color w:val="auto"/>
              </w:rPr>
            </w:pPr>
            <w:r>
              <w:rPr>
                <w:rFonts w:ascii="Arial" w:cs="Arial" w:eastAsia="Arial" w:hAnsi="Arial"/>
                <w:sz w:val="14"/>
                <w:szCs w:val="14"/>
                <w:b w:val="1"/>
                <w:bCs w:val="1"/>
                <w:color w:val="auto"/>
                <w:w w:val="97"/>
              </w:rPr>
              <w:t>Expense Type</w:t>
            </w:r>
          </w:p>
        </w:tc>
        <w:tc>
          <w:tcPr>
            <w:tcW w:w="1380" w:type="dxa"/>
            <w:vAlign w:val="bottom"/>
            <w:tcBorders>
              <w:top w:val="single" w:sz="8" w:color="auto"/>
              <w:right w:val="single" w:sz="8" w:color="auto"/>
            </w:tcBorders>
            <w:vMerge w:val="restart"/>
            <w:shd w:val="clear" w:color="auto" w:fill="C6D9F1"/>
          </w:tcPr>
          <w:p>
            <w:pPr>
              <w:ind w:left="40"/>
              <w:spacing w:after="0"/>
              <w:rPr>
                <w:sz w:val="20"/>
                <w:szCs w:val="20"/>
                <w:color w:val="auto"/>
              </w:rPr>
            </w:pPr>
            <w:r>
              <w:rPr>
                <w:rFonts w:ascii="Arial" w:cs="Arial" w:eastAsia="Arial" w:hAnsi="Arial"/>
                <w:sz w:val="14"/>
                <w:szCs w:val="14"/>
                <w:b w:val="1"/>
                <w:bCs w:val="1"/>
                <w:color w:val="auto"/>
              </w:rPr>
              <w:t>Service Fee</w:t>
            </w:r>
          </w:p>
        </w:tc>
        <w:tc>
          <w:tcPr>
            <w:tcW w:w="2320" w:type="dxa"/>
            <w:vAlign w:val="bottom"/>
            <w:tcBorders>
              <w:top w:val="single" w:sz="8" w:color="auto"/>
              <w:right w:val="single" w:sz="8" w:color="auto"/>
            </w:tcBorders>
            <w:shd w:val="clear" w:color="auto" w:fill="C6D9F1"/>
          </w:tcPr>
          <w:p>
            <w:pPr>
              <w:ind w:left="40"/>
              <w:spacing w:after="0" w:line="125"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vMerge w:val="continue"/>
            <w:shd w:val="clear" w:color="auto" w:fill="C6D9F1"/>
          </w:tcPr>
          <w:p>
            <w:pPr>
              <w:spacing w:after="0"/>
              <w:rPr>
                <w:sz w:val="8"/>
                <w:szCs w:val="8"/>
                <w:color w:val="auto"/>
              </w:rPr>
            </w:pPr>
          </w:p>
        </w:tc>
        <w:tc>
          <w:tcPr>
            <w:tcW w:w="1460" w:type="dxa"/>
            <w:vAlign w:val="bottom"/>
            <w:tcBorders>
              <w:right w:val="single" w:sz="8" w:color="auto"/>
            </w:tcBorders>
            <w:vMerge w:val="continue"/>
            <w:shd w:val="clear" w:color="auto" w:fill="C6D9F1"/>
          </w:tcPr>
          <w:p>
            <w:pPr>
              <w:spacing w:after="0"/>
              <w:rPr>
                <w:sz w:val="8"/>
                <w:szCs w:val="8"/>
                <w:color w:val="auto"/>
              </w:rPr>
            </w:pPr>
          </w:p>
        </w:tc>
        <w:tc>
          <w:tcPr>
            <w:tcW w:w="2480" w:type="dxa"/>
            <w:vAlign w:val="bottom"/>
            <w:tcBorders>
              <w:right w:val="single" w:sz="8" w:color="auto"/>
            </w:tcBorders>
            <w:vMerge w:val="continue"/>
            <w:shd w:val="clear" w:color="auto" w:fill="C6D9F1"/>
          </w:tcPr>
          <w:p>
            <w:pPr>
              <w:spacing w:after="0"/>
              <w:rPr>
                <w:sz w:val="8"/>
                <w:szCs w:val="8"/>
                <w:color w:val="auto"/>
              </w:rPr>
            </w:pPr>
          </w:p>
        </w:tc>
        <w:tc>
          <w:tcPr>
            <w:tcW w:w="2080" w:type="dxa"/>
            <w:vAlign w:val="bottom"/>
            <w:tcBorders>
              <w:right w:val="single" w:sz="8" w:color="auto"/>
            </w:tcBorders>
            <w:vMerge w:val="continue"/>
            <w:shd w:val="clear" w:color="auto" w:fill="C6D9F1"/>
          </w:tcPr>
          <w:p>
            <w:pPr>
              <w:spacing w:after="0"/>
              <w:rPr>
                <w:sz w:val="8"/>
                <w:szCs w:val="8"/>
                <w:color w:val="auto"/>
              </w:rPr>
            </w:pPr>
          </w:p>
        </w:tc>
        <w:tc>
          <w:tcPr>
            <w:tcW w:w="1100" w:type="dxa"/>
            <w:vAlign w:val="bottom"/>
            <w:tcBorders>
              <w:right w:val="single" w:sz="8" w:color="auto"/>
            </w:tcBorders>
            <w:vMerge w:val="continue"/>
            <w:shd w:val="clear" w:color="auto" w:fill="C6D9F1"/>
          </w:tcPr>
          <w:p>
            <w:pPr>
              <w:spacing w:after="0"/>
              <w:rPr>
                <w:sz w:val="8"/>
                <w:szCs w:val="8"/>
                <w:color w:val="auto"/>
              </w:rPr>
            </w:pPr>
          </w:p>
        </w:tc>
        <w:tc>
          <w:tcPr>
            <w:tcW w:w="1380" w:type="dxa"/>
            <w:vAlign w:val="bottom"/>
            <w:tcBorders>
              <w:right w:val="single" w:sz="8" w:color="auto"/>
            </w:tcBorders>
            <w:vMerge w:val="continue"/>
            <w:shd w:val="clear" w:color="auto" w:fill="C6D9F1"/>
          </w:tcPr>
          <w:p>
            <w:pPr>
              <w:spacing w:after="0"/>
              <w:rPr>
                <w:sz w:val="8"/>
                <w:szCs w:val="8"/>
                <w:color w:val="auto"/>
              </w:rPr>
            </w:pPr>
          </w:p>
        </w:tc>
        <w:tc>
          <w:tcPr>
            <w:tcW w:w="2320" w:type="dxa"/>
            <w:vAlign w:val="bottom"/>
            <w:tcBorders>
              <w:right w:val="single" w:sz="8" w:color="auto"/>
            </w:tcBorders>
            <w:vMerge w:val="restart"/>
            <w:shd w:val="clear" w:color="auto" w:fill="C6D9F1"/>
          </w:tcPr>
          <w:p>
            <w:pPr>
              <w:ind w:left="4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480" w:type="dxa"/>
            <w:vAlign w:val="bottom"/>
            <w:tcBorders>
              <w:left w:val="single" w:sz="8" w:color="auto"/>
              <w:bottom w:val="single" w:sz="8" w:color="auto"/>
              <w:right w:val="single" w:sz="8" w:color="auto"/>
            </w:tcBorders>
            <w:shd w:val="clear" w:color="auto" w:fill="C6D9F1"/>
          </w:tcPr>
          <w:p>
            <w:pPr>
              <w:spacing w:after="0"/>
              <w:rPr>
                <w:sz w:val="6"/>
                <w:szCs w:val="6"/>
                <w:color w:val="auto"/>
              </w:rPr>
            </w:pPr>
          </w:p>
        </w:tc>
        <w:tc>
          <w:tcPr>
            <w:tcW w:w="1460" w:type="dxa"/>
            <w:vAlign w:val="bottom"/>
            <w:tcBorders>
              <w:bottom w:val="single" w:sz="8" w:color="auto"/>
              <w:right w:val="single" w:sz="8" w:color="auto"/>
            </w:tcBorders>
            <w:shd w:val="clear" w:color="auto" w:fill="C6D9F1"/>
          </w:tcPr>
          <w:p>
            <w:pPr>
              <w:spacing w:after="0"/>
              <w:rPr>
                <w:sz w:val="6"/>
                <w:szCs w:val="6"/>
                <w:color w:val="auto"/>
              </w:rPr>
            </w:pPr>
          </w:p>
        </w:tc>
        <w:tc>
          <w:tcPr>
            <w:tcW w:w="2480" w:type="dxa"/>
            <w:vAlign w:val="bottom"/>
            <w:tcBorders>
              <w:bottom w:val="single" w:sz="8" w:color="auto"/>
              <w:right w:val="single" w:sz="8" w:color="auto"/>
            </w:tcBorders>
            <w:shd w:val="clear" w:color="auto" w:fill="C6D9F1"/>
          </w:tcPr>
          <w:p>
            <w:pPr>
              <w:spacing w:after="0"/>
              <w:rPr>
                <w:sz w:val="6"/>
                <w:szCs w:val="6"/>
                <w:color w:val="auto"/>
              </w:rPr>
            </w:pPr>
          </w:p>
        </w:tc>
        <w:tc>
          <w:tcPr>
            <w:tcW w:w="2080" w:type="dxa"/>
            <w:vAlign w:val="bottom"/>
            <w:tcBorders>
              <w:bottom w:val="single" w:sz="8" w:color="auto"/>
              <w:right w:val="single" w:sz="8" w:color="auto"/>
            </w:tcBorders>
            <w:shd w:val="clear" w:color="auto" w:fill="C6D9F1"/>
          </w:tcPr>
          <w:p>
            <w:pPr>
              <w:spacing w:after="0"/>
              <w:rPr>
                <w:sz w:val="6"/>
                <w:szCs w:val="6"/>
                <w:color w:val="auto"/>
              </w:rPr>
            </w:pPr>
          </w:p>
        </w:tc>
        <w:tc>
          <w:tcPr>
            <w:tcW w:w="1100" w:type="dxa"/>
            <w:vAlign w:val="bottom"/>
            <w:tcBorders>
              <w:bottom w:val="single" w:sz="8" w:color="auto"/>
              <w:right w:val="single" w:sz="8" w:color="auto"/>
            </w:tcBorders>
            <w:shd w:val="clear" w:color="auto" w:fill="C6D9F1"/>
          </w:tcPr>
          <w:p>
            <w:pPr>
              <w:spacing w:after="0"/>
              <w:rPr>
                <w:sz w:val="6"/>
                <w:szCs w:val="6"/>
                <w:color w:val="auto"/>
              </w:rPr>
            </w:pPr>
          </w:p>
        </w:tc>
        <w:tc>
          <w:tcPr>
            <w:tcW w:w="1380" w:type="dxa"/>
            <w:vAlign w:val="bottom"/>
            <w:tcBorders>
              <w:bottom w:val="single" w:sz="8" w:color="auto"/>
              <w:right w:val="single" w:sz="8" w:color="auto"/>
            </w:tcBorders>
            <w:shd w:val="clear" w:color="auto" w:fill="C6D9F1"/>
          </w:tcPr>
          <w:p>
            <w:pPr>
              <w:spacing w:after="0"/>
              <w:rPr>
                <w:sz w:val="6"/>
                <w:szCs w:val="6"/>
                <w:color w:val="auto"/>
              </w:rPr>
            </w:pPr>
          </w:p>
        </w:tc>
        <w:tc>
          <w:tcPr>
            <w:tcW w:w="2320" w:type="dxa"/>
            <w:vAlign w:val="bottom"/>
            <w:tcBorders>
              <w:bottom w:val="single" w:sz="8" w:color="auto"/>
              <w:right w:val="single" w:sz="8" w:color="auto"/>
            </w:tcBorders>
            <w:vMerge w:val="continue"/>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4"/>
              </w:rPr>
              <w:t>Crisis Management –</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0"/>
              </w:rPr>
              <w:t>Provide resources, access to the tools and</w:t>
            </w:r>
          </w:p>
        </w:tc>
        <w:tc>
          <w:tcPr>
            <w:tcW w:w="2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39</w:t>
            </w: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5"/>
              </w:rPr>
              <w:t>processes to respond and coordinate on</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8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80" w:type="dxa"/>
            <w:vAlign w:val="bottom"/>
            <w:tcBorders>
              <w:left w:val="single" w:sz="8" w:color="auto"/>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BCP, Data Security</w:t>
            </w: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incidents impacting multiple business</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units.</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Provide inputs from shared holding</w:t>
            </w:r>
          </w:p>
        </w:tc>
        <w:tc>
          <w:tcPr>
            <w:tcW w:w="2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Economic Capital</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3"/>
              </w:rPr>
              <w:t>company activity and risk aggregation for</w:t>
            </w:r>
          </w:p>
        </w:tc>
        <w:tc>
          <w:tcPr>
            <w:tcW w:w="2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8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economic capital reporting and</w:t>
            </w: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40</w:t>
            </w: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Production &amp;</w:t>
            </w: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8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0"/>
              </w:rPr>
              <w:t>aggregation. Genworth will provide access</w:t>
            </w: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Aggregation</w:t>
            </w: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2"/>
              </w:rPr>
              <w:t>to tools and technologies leveraged in the</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production of Economic Capital.</w:t>
            </w:r>
          </w:p>
        </w:tc>
        <w:tc>
          <w:tcPr>
            <w:tcW w:w="2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41</w:t>
            </w: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IT and Cyber Risk</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Provide reporting, metrics, and overall</w:t>
            </w:r>
          </w:p>
        </w:tc>
        <w:tc>
          <w:tcPr>
            <w:tcW w:w="2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Calculated in</w:t>
            </w: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8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0"/>
              </w:rPr>
              <w:t>aggregation for IT Shared Services and MI</w:t>
            </w: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80" w:type="dxa"/>
            <w:vAlign w:val="bottom"/>
            <w:tcBorders>
              <w:left w:val="single" w:sz="8" w:color="auto"/>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Reporting</w:t>
            </w: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specific technologies.</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4"/>
                <w:szCs w:val="14"/>
                <w:color w:val="auto"/>
              </w:rPr>
              <w:t>Provide risk support and production of</w:t>
            </w:r>
          </w:p>
        </w:tc>
        <w:tc>
          <w:tcPr>
            <w:tcW w:w="20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w w:val="99"/>
              </w:rPr>
              <w:t>required consolidated regulatory filings</w:t>
            </w:r>
          </w:p>
        </w:tc>
        <w:tc>
          <w:tcPr>
            <w:tcW w:w="20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and coordinated responses for overall</w:t>
            </w:r>
          </w:p>
        </w:tc>
        <w:tc>
          <w:tcPr>
            <w:tcW w:w="20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ERM activities.</w:t>
            </w:r>
          </w:p>
        </w:tc>
        <w:tc>
          <w:tcPr>
            <w:tcW w:w="2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42</w:t>
            </w: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Risk Reporting and</w:t>
            </w: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6"/>
              </w:rPr>
              <w:t>Coordinate and provide consolidation of</w:t>
            </w:r>
          </w:p>
        </w:tc>
        <w:tc>
          <w:tcPr>
            <w:tcW w:w="20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Calculated in</w:t>
            </w:r>
          </w:p>
        </w:tc>
        <w:tc>
          <w:tcPr>
            <w:tcW w:w="2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48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Regulatory Filings</w:t>
            </w: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required enterprise ERM activity.</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8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Provide market and macroeconomic</w:t>
            </w:r>
          </w:p>
        </w:tc>
        <w:tc>
          <w:tcPr>
            <w:tcW w:w="2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w w:val="88"/>
              </w:rPr>
              <w:t>inputs for use in various processes such as</w:t>
            </w:r>
          </w:p>
        </w:tc>
        <w:tc>
          <w:tcPr>
            <w:tcW w:w="20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macroeconomic benchmarking and</w:t>
            </w:r>
          </w:p>
        </w:tc>
        <w:tc>
          <w:tcPr>
            <w:tcW w:w="20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Borders>
              <w:left w:val="single" w:sz="8" w:color="auto"/>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planning.</w:t>
            </w:r>
          </w:p>
        </w:tc>
        <w:tc>
          <w:tcPr>
            <w:tcW w:w="2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4"/>
              </w:rPr>
              <w:t>Model Risk Practices</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8"/>
              </w:rPr>
              <w:t>Provide capability to include reviews of</w:t>
            </w:r>
          </w:p>
        </w:tc>
        <w:tc>
          <w:tcPr>
            <w:tcW w:w="2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43</w:t>
            </w: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shared service models (investments,</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8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80" w:type="dxa"/>
            <w:vAlign w:val="bottom"/>
            <w:tcBorders>
              <w:left w:val="single" w:sz="8" w:color="auto"/>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and Consult</w:t>
            </w: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9"/>
              </w:rPr>
              <w:t>finance) as well as overall support and</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frameworks for MI.</w:t>
            </w: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00"/>
          </w:cols>
          <w:pgMar w:left="300" w:top="1101" w:right="299" w:bottom="1440" w:gutter="0" w:footer="0" w:header="0"/>
        </w:sectPr>
      </w:pPr>
    </w:p>
    <w:bookmarkStart w:id="247" w:name="page248"/>
    <w:bookmarkEnd w:id="247"/>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44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right w:val="single" w:sz="8" w:color="auto"/>
            </w:tcBorders>
            <w:vMerge w:val="restart"/>
            <w:shd w:val="clear" w:color="auto" w:fill="C6D9F1"/>
          </w:tcPr>
          <w:p>
            <w:pPr>
              <w:ind w:left="140"/>
              <w:spacing w:after="0"/>
              <w:rPr>
                <w:sz w:val="20"/>
                <w:szCs w:val="20"/>
                <w:color w:val="auto"/>
              </w:rPr>
            </w:pPr>
            <w:r>
              <w:rPr>
                <w:rFonts w:ascii="Arial" w:cs="Arial" w:eastAsia="Arial" w:hAnsi="Arial"/>
                <w:sz w:val="14"/>
                <w:szCs w:val="14"/>
                <w:b w:val="1"/>
                <w:bCs w:val="1"/>
                <w:color w:val="auto"/>
                <w:w w:val="99"/>
              </w:rPr>
              <w:t>Service Category</w:t>
            </w:r>
          </w:p>
        </w:tc>
        <w:tc>
          <w:tcPr>
            <w:tcW w:w="2520" w:type="dxa"/>
            <w:vAlign w:val="bottom"/>
            <w:tcBorders>
              <w:top w:val="single" w:sz="8" w:color="auto"/>
              <w:right w:val="single" w:sz="8" w:color="auto"/>
            </w:tcBorders>
            <w:vMerge w:val="restart"/>
            <w:shd w:val="clear" w:color="auto" w:fill="C6D9F1"/>
          </w:tcPr>
          <w:p>
            <w:pPr>
              <w:ind w:left="580"/>
              <w:spacing w:after="0"/>
              <w:rPr>
                <w:sz w:val="20"/>
                <w:szCs w:val="20"/>
                <w:color w:val="auto"/>
              </w:rPr>
            </w:pPr>
            <w:r>
              <w:rPr>
                <w:rFonts w:ascii="Arial" w:cs="Arial" w:eastAsia="Arial" w:hAnsi="Arial"/>
                <w:sz w:val="14"/>
                <w:szCs w:val="14"/>
                <w:b w:val="1"/>
                <w:bCs w:val="1"/>
                <w:color w:val="auto"/>
              </w:rPr>
              <w:t>Description of Services</w:t>
            </w:r>
          </w:p>
        </w:tc>
        <w:tc>
          <w:tcPr>
            <w:tcW w:w="2140" w:type="dxa"/>
            <w:vAlign w:val="bottom"/>
            <w:tcBorders>
              <w:top w:val="single" w:sz="8" w:color="auto"/>
              <w:right w:val="single" w:sz="8" w:color="auto"/>
            </w:tcBorders>
            <w:vMerge w:val="restart"/>
            <w:shd w:val="clear" w:color="auto" w:fill="C6D9F1"/>
          </w:tcPr>
          <w:p>
            <w:pPr>
              <w:ind w:left="360"/>
              <w:spacing w:after="0"/>
              <w:rPr>
                <w:sz w:val="20"/>
                <w:szCs w:val="20"/>
                <w:color w:val="auto"/>
              </w:rPr>
            </w:pPr>
            <w:r>
              <w:rPr>
                <w:rFonts w:ascii="Arial" w:cs="Arial" w:eastAsia="Arial" w:hAnsi="Arial"/>
                <w:sz w:val="14"/>
                <w:szCs w:val="14"/>
                <w:b w:val="1"/>
                <w:bCs w:val="1"/>
                <w:color w:val="auto"/>
              </w:rPr>
              <w:t>Additional Information</w:t>
            </w:r>
          </w:p>
        </w:tc>
        <w:tc>
          <w:tcPr>
            <w:tcW w:w="1120" w:type="dxa"/>
            <w:vAlign w:val="bottom"/>
            <w:tcBorders>
              <w:top w:val="single" w:sz="8" w:color="auto"/>
              <w:right w:val="single" w:sz="8" w:color="auto"/>
            </w:tcBorders>
            <w:vMerge w:val="restart"/>
            <w:shd w:val="clear" w:color="auto" w:fill="C6D9F1"/>
          </w:tcPr>
          <w:p>
            <w:pPr>
              <w:ind w:left="140"/>
              <w:spacing w:after="0"/>
              <w:rPr>
                <w:sz w:val="20"/>
                <w:szCs w:val="20"/>
                <w:color w:val="auto"/>
              </w:rPr>
            </w:pPr>
            <w:r>
              <w:rPr>
                <w:rFonts w:ascii="Arial" w:cs="Arial" w:eastAsia="Arial" w:hAnsi="Arial"/>
                <w:sz w:val="14"/>
                <w:szCs w:val="14"/>
                <w:b w:val="1"/>
                <w:bCs w:val="1"/>
                <w:color w:val="auto"/>
                <w:w w:val="99"/>
              </w:rPr>
              <w:t>Expense Type</w:t>
            </w:r>
          </w:p>
        </w:tc>
        <w:tc>
          <w:tcPr>
            <w:tcW w:w="1380" w:type="dxa"/>
            <w:vAlign w:val="bottom"/>
            <w:tcBorders>
              <w:top w:val="single" w:sz="8" w:color="auto"/>
              <w:right w:val="single" w:sz="8" w:color="auto"/>
            </w:tcBorders>
            <w:vMerge w:val="restart"/>
            <w:shd w:val="clear" w:color="auto" w:fill="C6D9F1"/>
          </w:tcPr>
          <w:p>
            <w:pPr>
              <w:ind w:left="40"/>
              <w:spacing w:after="0"/>
              <w:rPr>
                <w:sz w:val="20"/>
                <w:szCs w:val="20"/>
                <w:color w:val="auto"/>
              </w:rPr>
            </w:pPr>
            <w:r>
              <w:rPr>
                <w:rFonts w:ascii="Arial" w:cs="Arial" w:eastAsia="Arial" w:hAnsi="Arial"/>
                <w:sz w:val="14"/>
                <w:szCs w:val="14"/>
                <w:b w:val="1"/>
                <w:bCs w:val="1"/>
                <w:color w:val="auto"/>
              </w:rPr>
              <w:t>Service Fee</w:t>
            </w:r>
          </w:p>
        </w:tc>
        <w:tc>
          <w:tcPr>
            <w:tcW w:w="2380" w:type="dxa"/>
            <w:vAlign w:val="bottom"/>
            <w:tcBorders>
              <w:top w:val="single" w:sz="8" w:color="auto"/>
              <w:right w:val="single" w:sz="8" w:color="auto"/>
            </w:tcBorders>
            <w:shd w:val="clear" w:color="auto" w:fill="C6D9F1"/>
          </w:tcPr>
          <w:p>
            <w:pPr>
              <w:ind w:left="60"/>
              <w:spacing w:after="0" w:line="125"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102"/>
        </w:trPr>
        <w:tc>
          <w:tcPr>
            <w:tcW w:w="440" w:type="dxa"/>
            <w:vAlign w:val="bottom"/>
            <w:tcBorders>
              <w:left w:val="single" w:sz="8" w:color="auto"/>
              <w:right w:val="single" w:sz="8" w:color="auto"/>
            </w:tcBorders>
            <w:vMerge w:val="continue"/>
            <w:shd w:val="clear" w:color="auto" w:fill="C6D9F1"/>
          </w:tcPr>
          <w:p>
            <w:pPr>
              <w:spacing w:after="0"/>
              <w:rPr>
                <w:sz w:val="8"/>
                <w:szCs w:val="8"/>
                <w:color w:val="auto"/>
              </w:rPr>
            </w:pPr>
          </w:p>
        </w:tc>
        <w:tc>
          <w:tcPr>
            <w:tcW w:w="1320" w:type="dxa"/>
            <w:vAlign w:val="bottom"/>
            <w:tcBorders>
              <w:right w:val="single" w:sz="8" w:color="auto"/>
            </w:tcBorders>
            <w:vMerge w:val="continue"/>
            <w:shd w:val="clear" w:color="auto" w:fill="C6D9F1"/>
          </w:tcPr>
          <w:p>
            <w:pPr>
              <w:spacing w:after="0"/>
              <w:rPr>
                <w:sz w:val="8"/>
                <w:szCs w:val="8"/>
                <w:color w:val="auto"/>
              </w:rPr>
            </w:pPr>
          </w:p>
        </w:tc>
        <w:tc>
          <w:tcPr>
            <w:tcW w:w="2520" w:type="dxa"/>
            <w:vAlign w:val="bottom"/>
            <w:tcBorders>
              <w:right w:val="single" w:sz="8" w:color="auto"/>
            </w:tcBorders>
            <w:vMerge w:val="continue"/>
            <w:shd w:val="clear" w:color="auto" w:fill="C6D9F1"/>
          </w:tcPr>
          <w:p>
            <w:pPr>
              <w:spacing w:after="0"/>
              <w:rPr>
                <w:sz w:val="8"/>
                <w:szCs w:val="8"/>
                <w:color w:val="auto"/>
              </w:rPr>
            </w:pPr>
          </w:p>
        </w:tc>
        <w:tc>
          <w:tcPr>
            <w:tcW w:w="2140" w:type="dxa"/>
            <w:vAlign w:val="bottom"/>
            <w:tcBorders>
              <w:right w:val="single" w:sz="8" w:color="auto"/>
            </w:tcBorders>
            <w:vMerge w:val="continue"/>
            <w:shd w:val="clear" w:color="auto" w:fill="C6D9F1"/>
          </w:tcPr>
          <w:p>
            <w:pPr>
              <w:spacing w:after="0"/>
              <w:rPr>
                <w:sz w:val="8"/>
                <w:szCs w:val="8"/>
                <w:color w:val="auto"/>
              </w:rPr>
            </w:pPr>
          </w:p>
        </w:tc>
        <w:tc>
          <w:tcPr>
            <w:tcW w:w="1120" w:type="dxa"/>
            <w:vAlign w:val="bottom"/>
            <w:tcBorders>
              <w:right w:val="single" w:sz="8" w:color="auto"/>
            </w:tcBorders>
            <w:vMerge w:val="continue"/>
            <w:shd w:val="clear" w:color="auto" w:fill="C6D9F1"/>
          </w:tcPr>
          <w:p>
            <w:pPr>
              <w:spacing w:after="0"/>
              <w:rPr>
                <w:sz w:val="8"/>
                <w:szCs w:val="8"/>
                <w:color w:val="auto"/>
              </w:rPr>
            </w:pPr>
          </w:p>
        </w:tc>
        <w:tc>
          <w:tcPr>
            <w:tcW w:w="1380" w:type="dxa"/>
            <w:vAlign w:val="bottom"/>
            <w:tcBorders>
              <w:right w:val="single" w:sz="8" w:color="auto"/>
            </w:tcBorders>
            <w:vMerge w:val="continue"/>
            <w:shd w:val="clear" w:color="auto" w:fill="C6D9F1"/>
          </w:tcPr>
          <w:p>
            <w:pPr>
              <w:spacing w:after="0"/>
              <w:rPr>
                <w:sz w:val="8"/>
                <w:szCs w:val="8"/>
                <w:color w:val="auto"/>
              </w:rPr>
            </w:pPr>
          </w:p>
        </w:tc>
        <w:tc>
          <w:tcPr>
            <w:tcW w:w="2380" w:type="dxa"/>
            <w:vAlign w:val="bottom"/>
            <w:tcBorders>
              <w:right w:val="single" w:sz="8" w:color="auto"/>
            </w:tcBorders>
            <w:vMerge w:val="restart"/>
            <w:shd w:val="clear" w:color="auto" w:fill="C6D9F1"/>
          </w:tcPr>
          <w:p>
            <w:pPr>
              <w:ind w:left="6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440" w:type="dxa"/>
            <w:vAlign w:val="bottom"/>
            <w:tcBorders>
              <w:left w:val="single" w:sz="8" w:color="auto"/>
              <w:bottom w:val="single" w:sz="8" w:color="auto"/>
              <w:right w:val="single" w:sz="8" w:color="auto"/>
            </w:tcBorders>
            <w:shd w:val="clear" w:color="auto" w:fill="C6D9F1"/>
          </w:tcPr>
          <w:p>
            <w:pPr>
              <w:spacing w:after="0"/>
              <w:rPr>
                <w:sz w:val="6"/>
                <w:szCs w:val="6"/>
                <w:color w:val="auto"/>
              </w:rPr>
            </w:pPr>
          </w:p>
        </w:tc>
        <w:tc>
          <w:tcPr>
            <w:tcW w:w="1320" w:type="dxa"/>
            <w:vAlign w:val="bottom"/>
            <w:tcBorders>
              <w:bottom w:val="single" w:sz="8" w:color="auto"/>
              <w:right w:val="single" w:sz="8" w:color="auto"/>
            </w:tcBorders>
            <w:shd w:val="clear" w:color="auto" w:fill="C6D9F1"/>
          </w:tcPr>
          <w:p>
            <w:pPr>
              <w:spacing w:after="0"/>
              <w:rPr>
                <w:sz w:val="6"/>
                <w:szCs w:val="6"/>
                <w:color w:val="auto"/>
              </w:rPr>
            </w:pPr>
          </w:p>
        </w:tc>
        <w:tc>
          <w:tcPr>
            <w:tcW w:w="2520" w:type="dxa"/>
            <w:vAlign w:val="bottom"/>
            <w:tcBorders>
              <w:bottom w:val="single" w:sz="8" w:color="auto"/>
              <w:right w:val="single" w:sz="8" w:color="auto"/>
            </w:tcBorders>
            <w:shd w:val="clear" w:color="auto" w:fill="C6D9F1"/>
          </w:tcPr>
          <w:p>
            <w:pPr>
              <w:spacing w:after="0"/>
              <w:rPr>
                <w:sz w:val="6"/>
                <w:szCs w:val="6"/>
                <w:color w:val="auto"/>
              </w:rPr>
            </w:pPr>
          </w:p>
        </w:tc>
        <w:tc>
          <w:tcPr>
            <w:tcW w:w="2140" w:type="dxa"/>
            <w:vAlign w:val="bottom"/>
            <w:tcBorders>
              <w:bottom w:val="single" w:sz="8" w:color="auto"/>
              <w:right w:val="single" w:sz="8" w:color="auto"/>
            </w:tcBorders>
            <w:shd w:val="clear" w:color="auto" w:fill="C6D9F1"/>
          </w:tcPr>
          <w:p>
            <w:pPr>
              <w:spacing w:after="0"/>
              <w:rPr>
                <w:sz w:val="6"/>
                <w:szCs w:val="6"/>
                <w:color w:val="auto"/>
              </w:rPr>
            </w:pPr>
          </w:p>
        </w:tc>
        <w:tc>
          <w:tcPr>
            <w:tcW w:w="1120" w:type="dxa"/>
            <w:vAlign w:val="bottom"/>
            <w:tcBorders>
              <w:bottom w:val="single" w:sz="8" w:color="auto"/>
              <w:right w:val="single" w:sz="8" w:color="auto"/>
            </w:tcBorders>
            <w:shd w:val="clear" w:color="auto" w:fill="C6D9F1"/>
          </w:tcPr>
          <w:p>
            <w:pPr>
              <w:spacing w:after="0"/>
              <w:rPr>
                <w:sz w:val="6"/>
                <w:szCs w:val="6"/>
                <w:color w:val="auto"/>
              </w:rPr>
            </w:pPr>
          </w:p>
        </w:tc>
        <w:tc>
          <w:tcPr>
            <w:tcW w:w="1380" w:type="dxa"/>
            <w:vAlign w:val="bottom"/>
            <w:tcBorders>
              <w:bottom w:val="single" w:sz="8" w:color="auto"/>
              <w:right w:val="single" w:sz="8" w:color="auto"/>
            </w:tcBorders>
            <w:shd w:val="clear" w:color="auto" w:fill="C6D9F1"/>
          </w:tcPr>
          <w:p>
            <w:pPr>
              <w:spacing w:after="0"/>
              <w:rPr>
                <w:sz w:val="6"/>
                <w:szCs w:val="6"/>
                <w:color w:val="auto"/>
              </w:rPr>
            </w:pPr>
          </w:p>
        </w:tc>
        <w:tc>
          <w:tcPr>
            <w:tcW w:w="2380" w:type="dxa"/>
            <w:vAlign w:val="bottom"/>
            <w:tcBorders>
              <w:bottom w:val="single" w:sz="8" w:color="auto"/>
              <w:right w:val="single" w:sz="8" w:color="auto"/>
            </w:tcBorders>
            <w:vMerge w:val="continue"/>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Legal and</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Have the opportunity to participate in GF's</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44</w:t>
            </w: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Legal and Compliance meetings. GF</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2"/>
              </w:rPr>
              <w:t>Compliance Meetings</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4"/>
              </w:rPr>
              <w:t>includes legal and compliance staff on all</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5"/>
              </w:rPr>
              <w:t>and Distribution Lists</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2"/>
              </w:rPr>
              <w:t>GF legal and compliance distribution lists.</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Provide legal counsel for historic and</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continuing participation in GF's payroll</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0"/>
              </w:rPr>
              <w:t>Pay and Benefit Legal</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3"/>
              </w:rPr>
              <w:t>systems and benefit plans, as long as the</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45</w:t>
            </w:r>
          </w:p>
        </w:tc>
        <w:tc>
          <w:tcPr>
            <w:tcW w:w="13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4"/>
                <w:szCs w:val="14"/>
                <w:color w:val="auto"/>
                <w:w w:val="99"/>
              </w:rPr>
              <w:t>Company participates in the applicable</w:t>
            </w:r>
          </w:p>
        </w:tc>
        <w:tc>
          <w:tcPr>
            <w:tcW w:w="2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right w:val="single" w:sz="8" w:color="auto"/>
            </w:tcBorders>
            <w:vMerge w:val="continue"/>
          </w:tcPr>
          <w:p>
            <w:pPr>
              <w:spacing w:after="0"/>
              <w:rPr>
                <w:sz w:val="9"/>
                <w:szCs w:val="9"/>
                <w:color w:val="auto"/>
              </w:rPr>
            </w:pPr>
          </w:p>
        </w:tc>
        <w:tc>
          <w:tcPr>
            <w:tcW w:w="132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3"/>
                <w:szCs w:val="13"/>
                <w:color w:val="auto"/>
              </w:rPr>
              <w:t>Support – Genworth</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benefit plan. Legal representation is</w:t>
            </w:r>
          </w:p>
        </w:tc>
        <w:tc>
          <w:tcPr>
            <w:tcW w:w="21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3"/>
                <w:szCs w:val="13"/>
                <w:color w:val="auto"/>
              </w:rPr>
              <w:t>accordance with</w:t>
            </w: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Financial Plans</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1"/>
              </w:rPr>
              <w:t>provided for any claim for benefits under a</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4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14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9"/>
              </w:rPr>
              <w:t>GF benefit plan regardless of when the</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claim arises.</w:t>
            </w:r>
          </w:p>
        </w:tc>
        <w:tc>
          <w:tcPr>
            <w:tcW w:w="21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88"/>
              </w:rPr>
              <w:t>Provide advice and counsel on employment</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46</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4"/>
              </w:rPr>
              <w:t>Employment-Related</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2"/>
              </w:rPr>
              <w:t>matters to include assistance with outside</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Legal Support</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88"/>
              </w:rPr>
              <w:t>counsel selection, relationship management</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2"/>
              </w:rPr>
              <w:t>and executive compensation governance.</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Corporate</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Provide legal guidance and support</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47</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Governance and</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9"/>
              </w:rPr>
              <w:t>services, including corporate filings, for</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Board of Directors</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U.S. domiciled entities. GF provides</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Legal Support</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support for BOD meetings.</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00"/>
          </w:cols>
          <w:pgMar w:left="300" w:top="1440" w:right="299" w:bottom="1440" w:gutter="0" w:footer="0" w:header="0"/>
        </w:sectPr>
      </w:pPr>
    </w:p>
    <w:bookmarkStart w:id="248" w:name="page249"/>
    <w:bookmarkEnd w:id="248"/>
    <w:tbl>
      <w:tblPr>
        <w:tblLayout w:type="fixed"/>
        <w:tblInd w:w="10" w:type="dxa"/>
        <w:tblCellMar>
          <w:top w:w="0" w:type="dxa"/>
          <w:left w:w="0" w:type="dxa"/>
          <w:bottom w:w="0" w:type="dxa"/>
          <w:right w:w="0" w:type="dxa"/>
        </w:tblCellMar>
      </w:tblPr>
      <w:tr>
        <w:trPr>
          <w:trHeight w:val="184"/>
        </w:trPr>
        <w:tc>
          <w:tcPr>
            <w:tcW w:w="44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Provide support and cooperation in</w:t>
            </w:r>
          </w:p>
        </w:tc>
        <w:tc>
          <w:tcPr>
            <w:tcW w:w="21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23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89"/>
              </w:rPr>
              <w:t>accessing Government Officials to facilitate</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discussion or resolution of issues or</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developments of relevance to the</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48</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Government</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Company; Access to GF’s Washington</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Office; Coordination to ensure</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Relations--Federal</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5"/>
              </w:rPr>
              <w:t>harmonization of legal, regulatory and/or</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4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14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4"/>
              </w:rPr>
              <w:t>policy positions, including, but not limited</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to, tax issues and financial services</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involving GF and its affiliates, and the</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Company.</w:t>
            </w:r>
          </w:p>
        </w:tc>
        <w:tc>
          <w:tcPr>
            <w:tcW w:w="21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49</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Government</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Continued access to GF State Level</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Resources and Government Relations</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Relations--State</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leaders.</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50</w:t>
            </w: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6"/>
              </w:rPr>
              <w:t>Route all the Company -related inquiries</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GF Ombudsman</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received by the GF ombudsman to the</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Company's ombudsman.</w:t>
            </w:r>
          </w:p>
        </w:tc>
        <w:tc>
          <w:tcPr>
            <w:tcW w:w="21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Access to and use of GF's Watch List</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51</w:t>
            </w: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(OFAC, new Aquilan Patriot Manager</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Watch List</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Direct Bill</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6"/>
              </w:rPr>
              <w:t>software, etc.) and Watch List Database</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Search, used for security screening.</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8"/>
              </w:rPr>
              <w:t>Access to GF’s licenses with Practicing</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52</w:t>
            </w: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1"/>
              </w:rPr>
              <w:t>Law Institute, which offers continuing legal</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Legal Technology</w:t>
            </w: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Direct Bill</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7"/>
              </w:rPr>
              <w:t>education on demand, and Lexis, which</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offers a legal research portal</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53</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Investments Legal</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Legal support for investments activity</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Support</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involving the Company’s companies.</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3"/>
              </w:rPr>
              <w:t>Conduct contract reviews and negotiation</w:t>
            </w:r>
          </w:p>
        </w:tc>
        <w:tc>
          <w:tcPr>
            <w:tcW w:w="2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Calculated in</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54</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5"/>
              </w:rPr>
              <w:t>Contract Reviews for</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for significant suppliers for which the</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COH</w:t>
            </w: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accordance with</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Key Suppliers</w:t>
            </w: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5"/>
              </w:rPr>
              <w:t>Company receives benefits as affiliate of</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historical practice</w:t>
            </w: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GFI</w:t>
            </w: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00"/>
          </w:cols>
          <w:pgMar w:left="300" w:top="1125" w:right="299" w:bottom="1440" w:gutter="0" w:footer="0" w:header="0"/>
        </w:sectPr>
      </w:pPr>
    </w:p>
    <w:bookmarkStart w:id="249" w:name="page250"/>
    <w:bookmarkEnd w:id="249"/>
    <w:tbl>
      <w:tblPr>
        <w:tblLayout w:type="fixed"/>
        <w:tblInd w:w="10" w:type="dxa"/>
        <w:tblCellMar>
          <w:top w:w="0" w:type="dxa"/>
          <w:left w:w="0" w:type="dxa"/>
          <w:bottom w:w="0" w:type="dxa"/>
          <w:right w:w="0" w:type="dxa"/>
        </w:tblCellMar>
      </w:tblPr>
      <w:tr>
        <w:trPr>
          <w:trHeight w:val="184"/>
        </w:trPr>
        <w:tc>
          <w:tcPr>
            <w:tcW w:w="440" w:type="dxa"/>
            <w:vAlign w:val="bottom"/>
            <w:tcBorders>
              <w:top w:val="single" w:sz="8" w:color="auto"/>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55</w:t>
            </w:r>
          </w:p>
        </w:tc>
        <w:tc>
          <w:tcPr>
            <w:tcW w:w="132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Litigation Counsel</w:t>
            </w:r>
          </w:p>
        </w:tc>
        <w:tc>
          <w:tcPr>
            <w:tcW w:w="80" w:type="dxa"/>
            <w:vAlign w:val="bottom"/>
            <w:tcBorders>
              <w:top w:val="single" w:sz="8" w:color="auto"/>
            </w:tcBorders>
          </w:tcPr>
          <w:p>
            <w:pPr>
              <w:spacing w:after="0"/>
              <w:rPr>
                <w:sz w:val="16"/>
                <w:szCs w:val="16"/>
                <w:color w:val="auto"/>
              </w:rPr>
            </w:pPr>
          </w:p>
        </w:tc>
        <w:tc>
          <w:tcPr>
            <w:tcW w:w="244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4"/>
                <w:szCs w:val="14"/>
                <w:color w:val="auto"/>
                <w:w w:val="95"/>
              </w:rPr>
              <w:t>Provide support and strategy on material</w:t>
            </w:r>
          </w:p>
        </w:tc>
        <w:tc>
          <w:tcPr>
            <w:tcW w:w="260" w:type="dxa"/>
            <w:vAlign w:val="bottom"/>
            <w:tcBorders>
              <w:top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Calculated in</w:t>
            </w:r>
          </w:p>
        </w:tc>
        <w:tc>
          <w:tcPr>
            <w:tcW w:w="200" w:type="dxa"/>
            <w:vAlign w:val="bottom"/>
            <w:tcBorders>
              <w:top w:val="single" w:sz="8" w:color="auto"/>
            </w:tcBorders>
          </w:tcPr>
          <w:p>
            <w:pPr>
              <w:spacing w:after="0"/>
              <w:rPr>
                <w:sz w:val="16"/>
                <w:szCs w:val="16"/>
                <w:color w:val="auto"/>
              </w:rPr>
            </w:pPr>
          </w:p>
        </w:tc>
        <w:tc>
          <w:tcPr>
            <w:tcW w:w="21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COH</w:t>
            </w: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accordance with</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Support</w:t>
            </w: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w w:val="95"/>
              </w:rPr>
              <w:t>litigation matters involving the Company.</w:t>
            </w: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historical practice</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56</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IT Security Legal</w:t>
            </w:r>
          </w:p>
        </w:tc>
        <w:tc>
          <w:tcPr>
            <w:tcW w:w="80" w:type="dxa"/>
            <w:vAlign w:val="bottom"/>
          </w:tcPr>
          <w:p>
            <w:pPr>
              <w:spacing w:after="0"/>
              <w:rPr>
                <w:sz w:val="14"/>
                <w:szCs w:val="14"/>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w w:val="89"/>
              </w:rPr>
              <w:t>Provide support and strategy on IT security</w:t>
            </w:r>
          </w:p>
        </w:tc>
        <w:tc>
          <w:tcPr>
            <w:tcW w:w="260" w:type="dxa"/>
            <w:vAlign w:val="bottom"/>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Calculated in</w:t>
            </w:r>
          </w:p>
        </w:tc>
        <w:tc>
          <w:tcPr>
            <w:tcW w:w="200" w:type="dxa"/>
            <w:vAlign w:val="bottom"/>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COH</w:t>
            </w: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accordance with</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Support</w:t>
            </w: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matters involving the Company.</w:t>
            </w: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historical practice</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57</w:t>
            </w:r>
          </w:p>
        </w:tc>
        <w:tc>
          <w:tcPr>
            <w:tcW w:w="13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Provide legal support for tax matters</w:t>
            </w:r>
          </w:p>
        </w:tc>
        <w:tc>
          <w:tcPr>
            <w:tcW w:w="260" w:type="dxa"/>
            <w:vAlign w:val="bottom"/>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Calculated in</w:t>
            </w:r>
          </w:p>
        </w:tc>
        <w:tc>
          <w:tcPr>
            <w:tcW w:w="200" w:type="dxa"/>
            <w:vAlign w:val="bottom"/>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Tax Legal Support</w:t>
            </w: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COH</w:t>
            </w: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accordance with</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involving the Company Group.</w:t>
            </w: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historical practice</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58</w:t>
            </w: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SEC Filings Legal</w:t>
            </w:r>
          </w:p>
        </w:tc>
        <w:tc>
          <w:tcPr>
            <w:tcW w:w="80" w:type="dxa"/>
            <w:vAlign w:val="bottom"/>
          </w:tcPr>
          <w:p>
            <w:pPr>
              <w:spacing w:after="0"/>
              <w:rPr>
                <w:sz w:val="14"/>
                <w:szCs w:val="14"/>
                <w:color w:val="auto"/>
              </w:rPr>
            </w:pPr>
          </w:p>
        </w:tc>
        <w:tc>
          <w:tcPr>
            <w:tcW w:w="24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Provide internal counsel support with</w:t>
            </w:r>
          </w:p>
        </w:tc>
        <w:tc>
          <w:tcPr>
            <w:tcW w:w="260" w:type="dxa"/>
            <w:vAlign w:val="bottom"/>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Calculated in</w:t>
            </w:r>
          </w:p>
        </w:tc>
        <w:tc>
          <w:tcPr>
            <w:tcW w:w="200" w:type="dxa"/>
            <w:vAlign w:val="bottom"/>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w w:val="95"/>
              </w:rPr>
              <w:t>respect to GF SEC filings, 10-Ks, 10-Qs,</w:t>
            </w: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COH</w:t>
            </w: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accordance with</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Support</w:t>
            </w: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w w:val="90"/>
              </w:rPr>
              <w:t>identifying forward-looking statements, etc.</w:t>
            </w: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historical practice</w:t>
            </w: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Human Resources</w:t>
            </w: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right w:val="single" w:sz="8" w:color="auto"/>
            </w:tcBorders>
            <w:vMerge w:val="restart"/>
            <w:shd w:val="clear" w:color="auto" w:fill="C6D9F1"/>
          </w:tcPr>
          <w:p>
            <w:pPr>
              <w:jc w:val="right"/>
              <w:ind w:right="132"/>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vMerge w:val="restart"/>
            <w:shd w:val="clear" w:color="auto" w:fill="C6D9F1"/>
          </w:tcPr>
          <w:p>
            <w:pPr>
              <w:ind w:left="280"/>
              <w:spacing w:after="0"/>
              <w:rPr>
                <w:sz w:val="20"/>
                <w:szCs w:val="20"/>
                <w:color w:val="auto"/>
              </w:rPr>
            </w:pPr>
            <w:r>
              <w:rPr>
                <w:rFonts w:ascii="Arial" w:cs="Arial" w:eastAsia="Arial" w:hAnsi="Arial"/>
                <w:sz w:val="14"/>
                <w:szCs w:val="14"/>
                <w:b w:val="1"/>
                <w:bCs w:val="1"/>
                <w:color w:val="auto"/>
                <w:w w:val="96"/>
              </w:rPr>
              <w:t>Service Category</w:t>
            </w:r>
          </w:p>
        </w:tc>
        <w:tc>
          <w:tcPr>
            <w:tcW w:w="180" w:type="dxa"/>
            <w:vAlign w:val="bottom"/>
            <w:tcBorders>
              <w:right w:val="single" w:sz="8" w:color="auto"/>
            </w:tcBorders>
            <w:shd w:val="clear" w:color="auto" w:fill="C6D9F1"/>
          </w:tcPr>
          <w:p>
            <w:pPr>
              <w:spacing w:after="0"/>
              <w:rPr>
                <w:sz w:val="10"/>
                <w:szCs w:val="10"/>
                <w:color w:val="auto"/>
              </w:rPr>
            </w:pPr>
          </w:p>
        </w:tc>
        <w:tc>
          <w:tcPr>
            <w:tcW w:w="2520" w:type="dxa"/>
            <w:vAlign w:val="bottom"/>
            <w:tcBorders>
              <w:right w:val="single" w:sz="8" w:color="auto"/>
            </w:tcBorders>
            <w:gridSpan w:val="2"/>
            <w:vMerge w:val="restart"/>
            <w:shd w:val="clear" w:color="auto" w:fill="C6D9F1"/>
          </w:tcPr>
          <w:p>
            <w:pPr>
              <w:ind w:left="580"/>
              <w:spacing w:after="0"/>
              <w:rPr>
                <w:sz w:val="20"/>
                <w:szCs w:val="20"/>
                <w:color w:val="auto"/>
              </w:rPr>
            </w:pPr>
            <w:r>
              <w:rPr>
                <w:rFonts w:ascii="Arial" w:cs="Arial" w:eastAsia="Arial" w:hAnsi="Arial"/>
                <w:sz w:val="14"/>
                <w:szCs w:val="14"/>
                <w:b w:val="1"/>
                <w:bCs w:val="1"/>
                <w:color w:val="auto"/>
              </w:rPr>
              <w:t>Description of Services</w:t>
            </w:r>
          </w:p>
        </w:tc>
        <w:tc>
          <w:tcPr>
            <w:tcW w:w="1880" w:type="dxa"/>
            <w:vAlign w:val="bottom"/>
            <w:tcBorders>
              <w:right w:val="single" w:sz="8" w:color="C6D9F1"/>
            </w:tcBorders>
            <w:vMerge w:val="restart"/>
            <w:shd w:val="clear" w:color="auto" w:fill="C6D9F1"/>
          </w:tcPr>
          <w:p>
            <w:pPr>
              <w:ind w:left="340"/>
              <w:spacing w:after="0"/>
              <w:rPr>
                <w:sz w:val="20"/>
                <w:szCs w:val="20"/>
                <w:color w:val="auto"/>
              </w:rPr>
            </w:pPr>
            <w:r>
              <w:rPr>
                <w:rFonts w:ascii="Arial" w:cs="Arial" w:eastAsia="Arial" w:hAnsi="Arial"/>
                <w:sz w:val="14"/>
                <w:szCs w:val="14"/>
                <w:b w:val="1"/>
                <w:bCs w:val="1"/>
                <w:color w:val="auto"/>
              </w:rPr>
              <w:t>Additional Information</w:t>
            </w:r>
          </w:p>
        </w:tc>
        <w:tc>
          <w:tcPr>
            <w:tcW w:w="180" w:type="dxa"/>
            <w:vAlign w:val="bottom"/>
            <w:tcBorders>
              <w:right w:val="single" w:sz="8" w:color="auto"/>
            </w:tcBorders>
            <w:shd w:val="clear" w:color="auto" w:fill="C6D9F1"/>
          </w:tcPr>
          <w:p>
            <w:pPr>
              <w:spacing w:after="0"/>
              <w:rPr>
                <w:sz w:val="10"/>
                <w:szCs w:val="10"/>
                <w:color w:val="auto"/>
              </w:rPr>
            </w:pPr>
          </w:p>
        </w:tc>
        <w:tc>
          <w:tcPr>
            <w:tcW w:w="960" w:type="dxa"/>
            <w:vAlign w:val="bottom"/>
            <w:gridSpan w:val="2"/>
            <w:vMerge w:val="restart"/>
            <w:shd w:val="clear" w:color="auto" w:fill="C6D9F1"/>
          </w:tcPr>
          <w:p>
            <w:pPr>
              <w:ind w:left="140"/>
              <w:spacing w:after="0"/>
              <w:rPr>
                <w:sz w:val="20"/>
                <w:szCs w:val="20"/>
                <w:color w:val="auto"/>
              </w:rPr>
            </w:pPr>
            <w:r>
              <w:rPr>
                <w:rFonts w:ascii="Arial" w:cs="Arial" w:eastAsia="Arial" w:hAnsi="Arial"/>
                <w:sz w:val="14"/>
                <w:szCs w:val="14"/>
                <w:b w:val="1"/>
                <w:bCs w:val="1"/>
                <w:color w:val="auto"/>
                <w:w w:val="84"/>
              </w:rPr>
              <w:t>Expense Type</w:t>
            </w:r>
          </w:p>
        </w:tc>
        <w:tc>
          <w:tcPr>
            <w:tcW w:w="140" w:type="dxa"/>
            <w:vAlign w:val="bottom"/>
            <w:tcBorders>
              <w:right w:val="single" w:sz="8" w:color="auto"/>
            </w:tcBorders>
            <w:shd w:val="clear" w:color="auto" w:fill="C6D9F1"/>
          </w:tcPr>
          <w:p>
            <w:pPr>
              <w:spacing w:after="0"/>
              <w:rPr>
                <w:sz w:val="10"/>
                <w:szCs w:val="10"/>
                <w:color w:val="auto"/>
              </w:rPr>
            </w:pPr>
          </w:p>
        </w:tc>
        <w:tc>
          <w:tcPr>
            <w:tcW w:w="1220" w:type="dxa"/>
            <w:vAlign w:val="bottom"/>
            <w:tcBorders>
              <w:right w:val="single" w:sz="8" w:color="C6D9F1"/>
            </w:tcBorders>
            <w:vMerge w:val="restart"/>
            <w:shd w:val="clear" w:color="auto" w:fill="C6D9F1"/>
          </w:tcPr>
          <w:p>
            <w:pPr>
              <w:ind w:left="100"/>
              <w:spacing w:after="0"/>
              <w:rPr>
                <w:sz w:val="20"/>
                <w:szCs w:val="20"/>
                <w:color w:val="auto"/>
              </w:rPr>
            </w:pPr>
            <w:r>
              <w:rPr>
                <w:rFonts w:ascii="Arial" w:cs="Arial" w:eastAsia="Arial" w:hAnsi="Arial"/>
                <w:sz w:val="14"/>
                <w:szCs w:val="14"/>
                <w:b w:val="1"/>
                <w:bCs w:val="1"/>
                <w:color w:val="auto"/>
              </w:rPr>
              <w:t>Service Fee</w:t>
            </w:r>
          </w:p>
        </w:tc>
        <w:tc>
          <w:tcPr>
            <w:tcW w:w="200" w:type="dxa"/>
            <w:vAlign w:val="bottom"/>
            <w:tcBorders>
              <w:right w:val="single" w:sz="8" w:color="auto"/>
            </w:tcBorders>
            <w:shd w:val="clear" w:color="auto" w:fill="C6D9F1"/>
          </w:tcPr>
          <w:p>
            <w:pPr>
              <w:spacing w:after="0"/>
              <w:rPr>
                <w:sz w:val="10"/>
                <w:szCs w:val="10"/>
                <w:color w:val="auto"/>
              </w:rPr>
            </w:pPr>
          </w:p>
        </w:tc>
        <w:tc>
          <w:tcPr>
            <w:tcW w:w="2180" w:type="dxa"/>
            <w:vAlign w:val="bottom"/>
            <w:tcBorders>
              <w:right w:val="single" w:sz="8" w:color="auto"/>
            </w:tcBorders>
            <w:shd w:val="clear" w:color="auto" w:fill="C6D9F1"/>
          </w:tcPr>
          <w:p>
            <w:pPr>
              <w:ind w:left="40"/>
              <w:spacing w:after="0" w:line="125"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102"/>
        </w:trPr>
        <w:tc>
          <w:tcPr>
            <w:tcW w:w="440" w:type="dxa"/>
            <w:vAlign w:val="bottom"/>
            <w:tcBorders>
              <w:left w:val="single" w:sz="8" w:color="auto"/>
              <w:right w:val="single" w:sz="8" w:color="auto"/>
            </w:tcBorders>
            <w:vMerge w:val="continue"/>
            <w:shd w:val="clear" w:color="auto" w:fill="C6D9F1"/>
          </w:tcPr>
          <w:p>
            <w:pPr>
              <w:spacing w:after="0"/>
              <w:rPr>
                <w:sz w:val="8"/>
                <w:szCs w:val="8"/>
                <w:color w:val="auto"/>
              </w:rPr>
            </w:pPr>
          </w:p>
        </w:tc>
        <w:tc>
          <w:tcPr>
            <w:tcW w:w="1400" w:type="dxa"/>
            <w:vAlign w:val="bottom"/>
            <w:gridSpan w:val="2"/>
            <w:vMerge w:val="continue"/>
            <w:shd w:val="clear" w:color="auto" w:fill="C6D9F1"/>
          </w:tcPr>
          <w:p>
            <w:pPr>
              <w:spacing w:after="0"/>
              <w:rPr>
                <w:sz w:val="8"/>
                <w:szCs w:val="8"/>
                <w:color w:val="auto"/>
              </w:rPr>
            </w:pPr>
          </w:p>
        </w:tc>
        <w:tc>
          <w:tcPr>
            <w:tcW w:w="180" w:type="dxa"/>
            <w:vAlign w:val="bottom"/>
            <w:tcBorders>
              <w:right w:val="single" w:sz="8" w:color="auto"/>
            </w:tcBorders>
            <w:shd w:val="clear" w:color="auto" w:fill="C6D9F1"/>
          </w:tcPr>
          <w:p>
            <w:pPr>
              <w:spacing w:after="0"/>
              <w:rPr>
                <w:sz w:val="8"/>
                <w:szCs w:val="8"/>
                <w:color w:val="auto"/>
              </w:rPr>
            </w:pPr>
          </w:p>
        </w:tc>
        <w:tc>
          <w:tcPr>
            <w:tcW w:w="2520" w:type="dxa"/>
            <w:vAlign w:val="bottom"/>
            <w:tcBorders>
              <w:right w:val="single" w:sz="8" w:color="auto"/>
            </w:tcBorders>
            <w:gridSpan w:val="2"/>
            <w:vMerge w:val="continue"/>
            <w:shd w:val="clear" w:color="auto" w:fill="C6D9F1"/>
          </w:tcPr>
          <w:p>
            <w:pPr>
              <w:spacing w:after="0"/>
              <w:rPr>
                <w:sz w:val="8"/>
                <w:szCs w:val="8"/>
                <w:color w:val="auto"/>
              </w:rPr>
            </w:pPr>
          </w:p>
        </w:tc>
        <w:tc>
          <w:tcPr>
            <w:tcW w:w="1880" w:type="dxa"/>
            <w:vAlign w:val="bottom"/>
            <w:tcBorders>
              <w:right w:val="single" w:sz="8" w:color="C6D9F1"/>
            </w:tcBorders>
            <w:vMerge w:val="continue"/>
            <w:shd w:val="clear" w:color="auto" w:fill="C6D9F1"/>
          </w:tcPr>
          <w:p>
            <w:pPr>
              <w:spacing w:after="0"/>
              <w:rPr>
                <w:sz w:val="8"/>
                <w:szCs w:val="8"/>
                <w:color w:val="auto"/>
              </w:rPr>
            </w:pPr>
          </w:p>
        </w:tc>
        <w:tc>
          <w:tcPr>
            <w:tcW w:w="180" w:type="dxa"/>
            <w:vAlign w:val="bottom"/>
            <w:tcBorders>
              <w:right w:val="single" w:sz="8" w:color="auto"/>
            </w:tcBorders>
            <w:shd w:val="clear" w:color="auto" w:fill="C6D9F1"/>
          </w:tcPr>
          <w:p>
            <w:pPr>
              <w:spacing w:after="0"/>
              <w:rPr>
                <w:sz w:val="8"/>
                <w:szCs w:val="8"/>
                <w:color w:val="auto"/>
              </w:rPr>
            </w:pPr>
          </w:p>
        </w:tc>
        <w:tc>
          <w:tcPr>
            <w:tcW w:w="960" w:type="dxa"/>
            <w:vAlign w:val="bottom"/>
            <w:gridSpan w:val="2"/>
            <w:vMerge w:val="continue"/>
            <w:shd w:val="clear" w:color="auto" w:fill="C6D9F1"/>
          </w:tcPr>
          <w:p>
            <w:pPr>
              <w:spacing w:after="0"/>
              <w:rPr>
                <w:sz w:val="8"/>
                <w:szCs w:val="8"/>
                <w:color w:val="auto"/>
              </w:rPr>
            </w:pPr>
          </w:p>
        </w:tc>
        <w:tc>
          <w:tcPr>
            <w:tcW w:w="140" w:type="dxa"/>
            <w:vAlign w:val="bottom"/>
            <w:tcBorders>
              <w:right w:val="single" w:sz="8" w:color="auto"/>
            </w:tcBorders>
            <w:shd w:val="clear" w:color="auto" w:fill="C6D9F1"/>
          </w:tcPr>
          <w:p>
            <w:pPr>
              <w:spacing w:after="0"/>
              <w:rPr>
                <w:sz w:val="8"/>
                <w:szCs w:val="8"/>
                <w:color w:val="auto"/>
              </w:rPr>
            </w:pPr>
          </w:p>
        </w:tc>
        <w:tc>
          <w:tcPr>
            <w:tcW w:w="1220" w:type="dxa"/>
            <w:vAlign w:val="bottom"/>
            <w:tcBorders>
              <w:right w:val="single" w:sz="8" w:color="C6D9F1"/>
            </w:tcBorders>
            <w:vMerge w:val="continue"/>
            <w:shd w:val="clear" w:color="auto" w:fill="C6D9F1"/>
          </w:tcPr>
          <w:p>
            <w:pPr>
              <w:spacing w:after="0"/>
              <w:rPr>
                <w:sz w:val="8"/>
                <w:szCs w:val="8"/>
                <w:color w:val="auto"/>
              </w:rPr>
            </w:pPr>
          </w:p>
        </w:tc>
        <w:tc>
          <w:tcPr>
            <w:tcW w:w="200" w:type="dxa"/>
            <w:vAlign w:val="bottom"/>
            <w:tcBorders>
              <w:right w:val="single" w:sz="8" w:color="auto"/>
            </w:tcBorders>
            <w:shd w:val="clear" w:color="auto" w:fill="C6D9F1"/>
          </w:tcPr>
          <w:p>
            <w:pPr>
              <w:spacing w:after="0"/>
              <w:rPr>
                <w:sz w:val="8"/>
                <w:szCs w:val="8"/>
                <w:color w:val="auto"/>
              </w:rPr>
            </w:pPr>
          </w:p>
        </w:tc>
        <w:tc>
          <w:tcPr>
            <w:tcW w:w="2180" w:type="dxa"/>
            <w:vAlign w:val="bottom"/>
            <w:tcBorders>
              <w:right w:val="single" w:sz="8" w:color="auto"/>
            </w:tcBorders>
            <w:vMerge w:val="restart"/>
            <w:shd w:val="clear" w:color="auto" w:fill="C6D9F1"/>
          </w:tcPr>
          <w:p>
            <w:pPr>
              <w:ind w:left="8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440" w:type="dxa"/>
            <w:vAlign w:val="bottom"/>
            <w:tcBorders>
              <w:left w:val="single" w:sz="8" w:color="auto"/>
              <w:bottom w:val="single" w:sz="8" w:color="auto"/>
              <w:right w:val="single" w:sz="8" w:color="auto"/>
            </w:tcBorders>
            <w:shd w:val="clear" w:color="auto" w:fill="C6D9F1"/>
          </w:tcPr>
          <w:p>
            <w:pPr>
              <w:spacing w:after="0"/>
              <w:rPr>
                <w:sz w:val="6"/>
                <w:szCs w:val="6"/>
                <w:color w:val="auto"/>
              </w:rPr>
            </w:pPr>
          </w:p>
        </w:tc>
        <w:tc>
          <w:tcPr>
            <w:tcW w:w="1320" w:type="dxa"/>
            <w:vAlign w:val="bottom"/>
            <w:tcBorders>
              <w:bottom w:val="single" w:sz="8" w:color="auto"/>
              <w:right w:val="single" w:sz="8" w:color="C6D9F1"/>
            </w:tcBorders>
            <w:shd w:val="clear" w:color="auto" w:fill="C6D9F1"/>
          </w:tcPr>
          <w:p>
            <w:pPr>
              <w:spacing w:after="0"/>
              <w:rPr>
                <w:sz w:val="6"/>
                <w:szCs w:val="6"/>
                <w:color w:val="auto"/>
              </w:rPr>
            </w:pPr>
          </w:p>
        </w:tc>
        <w:tc>
          <w:tcPr>
            <w:tcW w:w="80" w:type="dxa"/>
            <w:vAlign w:val="bottom"/>
            <w:tcBorders>
              <w:bottom w:val="single" w:sz="8" w:color="auto"/>
            </w:tcBorders>
            <w:shd w:val="clear" w:color="auto" w:fill="C6D9F1"/>
          </w:tcPr>
          <w:p>
            <w:pPr>
              <w:spacing w:after="0"/>
              <w:rPr>
                <w:sz w:val="6"/>
                <w:szCs w:val="6"/>
                <w:color w:val="auto"/>
              </w:rPr>
            </w:pPr>
          </w:p>
        </w:tc>
        <w:tc>
          <w:tcPr>
            <w:tcW w:w="180" w:type="dxa"/>
            <w:vAlign w:val="bottom"/>
            <w:tcBorders>
              <w:bottom w:val="single" w:sz="8" w:color="auto"/>
              <w:right w:val="single" w:sz="8" w:color="auto"/>
            </w:tcBorders>
            <w:shd w:val="clear" w:color="auto" w:fill="C6D9F1"/>
          </w:tcPr>
          <w:p>
            <w:pPr>
              <w:spacing w:after="0"/>
              <w:rPr>
                <w:sz w:val="6"/>
                <w:szCs w:val="6"/>
                <w:color w:val="auto"/>
              </w:rPr>
            </w:pPr>
          </w:p>
        </w:tc>
        <w:tc>
          <w:tcPr>
            <w:tcW w:w="2260" w:type="dxa"/>
            <w:vAlign w:val="bottom"/>
            <w:tcBorders>
              <w:bottom w:val="single" w:sz="8" w:color="auto"/>
              <w:right w:val="single" w:sz="8" w:color="C6D9F1"/>
            </w:tcBorders>
            <w:shd w:val="clear" w:color="auto" w:fill="C6D9F1"/>
          </w:tcPr>
          <w:p>
            <w:pPr>
              <w:spacing w:after="0"/>
              <w:rPr>
                <w:sz w:val="6"/>
                <w:szCs w:val="6"/>
                <w:color w:val="auto"/>
              </w:rPr>
            </w:pPr>
          </w:p>
        </w:tc>
        <w:tc>
          <w:tcPr>
            <w:tcW w:w="260" w:type="dxa"/>
            <w:vAlign w:val="bottom"/>
            <w:tcBorders>
              <w:bottom w:val="single" w:sz="8" w:color="auto"/>
              <w:right w:val="single" w:sz="8" w:color="auto"/>
            </w:tcBorders>
            <w:shd w:val="clear" w:color="auto" w:fill="C6D9F1"/>
          </w:tcPr>
          <w:p>
            <w:pPr>
              <w:spacing w:after="0"/>
              <w:rPr>
                <w:sz w:val="6"/>
                <w:szCs w:val="6"/>
                <w:color w:val="auto"/>
              </w:rPr>
            </w:pPr>
          </w:p>
        </w:tc>
        <w:tc>
          <w:tcPr>
            <w:tcW w:w="1880" w:type="dxa"/>
            <w:vAlign w:val="bottom"/>
            <w:tcBorders>
              <w:bottom w:val="single" w:sz="8" w:color="auto"/>
              <w:right w:val="single" w:sz="8" w:color="C6D9F1"/>
            </w:tcBorders>
            <w:shd w:val="clear" w:color="auto" w:fill="C6D9F1"/>
          </w:tcPr>
          <w:p>
            <w:pPr>
              <w:spacing w:after="0"/>
              <w:rPr>
                <w:sz w:val="6"/>
                <w:szCs w:val="6"/>
                <w:color w:val="auto"/>
              </w:rPr>
            </w:pPr>
          </w:p>
        </w:tc>
        <w:tc>
          <w:tcPr>
            <w:tcW w:w="180" w:type="dxa"/>
            <w:vAlign w:val="bottom"/>
            <w:tcBorders>
              <w:bottom w:val="single" w:sz="8" w:color="auto"/>
              <w:right w:val="single" w:sz="8" w:color="auto"/>
            </w:tcBorders>
            <w:shd w:val="clear" w:color="auto" w:fill="C6D9F1"/>
          </w:tcPr>
          <w:p>
            <w:pPr>
              <w:spacing w:after="0"/>
              <w:rPr>
                <w:sz w:val="6"/>
                <w:szCs w:val="6"/>
                <w:color w:val="auto"/>
              </w:rPr>
            </w:pPr>
          </w:p>
        </w:tc>
        <w:tc>
          <w:tcPr>
            <w:tcW w:w="940" w:type="dxa"/>
            <w:vAlign w:val="bottom"/>
            <w:tcBorders>
              <w:bottom w:val="single" w:sz="8" w:color="auto"/>
              <w:right w:val="single" w:sz="8" w:color="C6D9F1"/>
            </w:tcBorders>
            <w:shd w:val="clear" w:color="auto" w:fill="C6D9F1"/>
          </w:tcPr>
          <w:p>
            <w:pPr>
              <w:spacing w:after="0"/>
              <w:rPr>
                <w:sz w:val="6"/>
                <w:szCs w:val="6"/>
                <w:color w:val="auto"/>
              </w:rPr>
            </w:pPr>
          </w:p>
        </w:tc>
        <w:tc>
          <w:tcPr>
            <w:tcW w:w="20" w:type="dxa"/>
            <w:vAlign w:val="bottom"/>
            <w:tcBorders>
              <w:bottom w:val="single" w:sz="8" w:color="auto"/>
            </w:tcBorders>
            <w:shd w:val="clear" w:color="auto" w:fill="C6D9F1"/>
          </w:tcPr>
          <w:p>
            <w:pPr>
              <w:spacing w:after="0"/>
              <w:rPr>
                <w:sz w:val="6"/>
                <w:szCs w:val="6"/>
                <w:color w:val="auto"/>
              </w:rPr>
            </w:pPr>
          </w:p>
        </w:tc>
        <w:tc>
          <w:tcPr>
            <w:tcW w:w="140" w:type="dxa"/>
            <w:vAlign w:val="bottom"/>
            <w:tcBorders>
              <w:bottom w:val="single" w:sz="8" w:color="auto"/>
              <w:right w:val="single" w:sz="8" w:color="auto"/>
            </w:tcBorders>
            <w:shd w:val="clear" w:color="auto" w:fill="C6D9F1"/>
          </w:tcPr>
          <w:p>
            <w:pPr>
              <w:spacing w:after="0"/>
              <w:rPr>
                <w:sz w:val="6"/>
                <w:szCs w:val="6"/>
                <w:color w:val="auto"/>
              </w:rPr>
            </w:pPr>
          </w:p>
        </w:tc>
        <w:tc>
          <w:tcPr>
            <w:tcW w:w="1220" w:type="dxa"/>
            <w:vAlign w:val="bottom"/>
            <w:tcBorders>
              <w:bottom w:val="single" w:sz="8" w:color="auto"/>
              <w:right w:val="single" w:sz="8" w:color="C6D9F1"/>
            </w:tcBorders>
            <w:shd w:val="clear" w:color="auto" w:fill="C6D9F1"/>
          </w:tcPr>
          <w:p>
            <w:pPr>
              <w:spacing w:after="0"/>
              <w:rPr>
                <w:sz w:val="6"/>
                <w:szCs w:val="6"/>
                <w:color w:val="auto"/>
              </w:rPr>
            </w:pPr>
          </w:p>
        </w:tc>
        <w:tc>
          <w:tcPr>
            <w:tcW w:w="200" w:type="dxa"/>
            <w:vAlign w:val="bottom"/>
            <w:tcBorders>
              <w:bottom w:val="single" w:sz="8" w:color="auto"/>
              <w:right w:val="single" w:sz="8" w:color="auto"/>
            </w:tcBorders>
            <w:shd w:val="clear" w:color="auto" w:fill="C6D9F1"/>
          </w:tcPr>
          <w:p>
            <w:pPr>
              <w:spacing w:after="0"/>
              <w:rPr>
                <w:sz w:val="6"/>
                <w:szCs w:val="6"/>
                <w:color w:val="auto"/>
              </w:rPr>
            </w:pPr>
          </w:p>
        </w:tc>
        <w:tc>
          <w:tcPr>
            <w:tcW w:w="2180" w:type="dxa"/>
            <w:vAlign w:val="bottom"/>
            <w:tcBorders>
              <w:bottom w:val="single" w:sz="8" w:color="auto"/>
              <w:right w:val="single" w:sz="8" w:color="auto"/>
            </w:tcBorders>
            <w:vMerge w:val="continue"/>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323232"/>
              </w:rPr>
              <w:t>Services provided by the Payroll</w:t>
            </w:r>
          </w:p>
        </w:tc>
        <w:tc>
          <w:tcPr>
            <w:tcW w:w="18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323232"/>
              </w:rPr>
              <w:t>Department and OSV for pay delivery,</w:t>
            </w:r>
          </w:p>
        </w:tc>
        <w:tc>
          <w:tcPr>
            <w:tcW w:w="1880" w:type="dxa"/>
            <w:vAlign w:val="bottom"/>
            <w:vMerge w:val="restart"/>
          </w:tcPr>
          <w:p>
            <w:pPr>
              <w:ind w:left="60"/>
              <w:spacing w:after="0"/>
              <w:rPr>
                <w:sz w:val="20"/>
                <w:szCs w:val="20"/>
                <w:color w:val="auto"/>
              </w:rPr>
            </w:pPr>
            <w:r>
              <w:rPr>
                <w:rFonts w:ascii="Arial" w:cs="Arial" w:eastAsia="Arial" w:hAnsi="Arial"/>
                <w:sz w:val="14"/>
                <w:szCs w:val="14"/>
                <w:color w:val="auto"/>
              </w:rPr>
              <w:t>Workday</w:t>
            </w:r>
          </w:p>
        </w:tc>
        <w:tc>
          <w:tcPr>
            <w:tcW w:w="18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0" w:type="dxa"/>
            <w:vAlign w:val="bottom"/>
            <w:tcBorders>
              <w:left w:val="single" w:sz="8" w:color="auto"/>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gridSpan w:val="2"/>
          </w:tcPr>
          <w:p>
            <w:pPr>
              <w:ind w:left="100"/>
              <w:spacing w:after="0" w:line="134" w:lineRule="exact"/>
              <w:rPr>
                <w:sz w:val="20"/>
                <w:szCs w:val="20"/>
                <w:color w:val="auto"/>
              </w:rPr>
            </w:pPr>
            <w:r>
              <w:rPr>
                <w:rFonts w:ascii="Arial" w:cs="Arial" w:eastAsia="Arial" w:hAnsi="Arial"/>
                <w:sz w:val="14"/>
                <w:szCs w:val="14"/>
                <w:color w:val="323232"/>
                <w:w w:val="99"/>
              </w:rPr>
              <w:t>payroll configuration, time tracking, tax</w:t>
            </w:r>
          </w:p>
        </w:tc>
        <w:tc>
          <w:tcPr>
            <w:tcW w:w="1880" w:type="dxa"/>
            <w:vAlign w:val="bottom"/>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20" w:type="dxa"/>
            <w:vAlign w:val="bottom"/>
          </w:tcPr>
          <w:p>
            <w:pPr>
              <w:ind w:left="100"/>
              <w:spacing w:after="0" w:line="134" w:lineRule="exact"/>
              <w:rPr>
                <w:sz w:val="20"/>
                <w:szCs w:val="20"/>
                <w:color w:val="auto"/>
              </w:rPr>
            </w:pPr>
            <w:r>
              <w:rPr>
                <w:rFonts w:ascii="Arial" w:cs="Arial" w:eastAsia="Arial" w:hAnsi="Arial"/>
                <w:sz w:val="14"/>
                <w:szCs w:val="14"/>
                <w:color w:val="auto"/>
              </w:rPr>
              <w:t>Calculated in</w:t>
            </w:r>
          </w:p>
        </w:tc>
        <w:tc>
          <w:tcPr>
            <w:tcW w:w="20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59</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Payroll Administration</w:t>
            </w:r>
          </w:p>
        </w:tc>
        <w:tc>
          <w:tcPr>
            <w:tcW w:w="180" w:type="dxa"/>
            <w:vAlign w:val="bottom"/>
            <w:tcBorders>
              <w:right w:val="single" w:sz="8" w:color="auto"/>
            </w:tcBorders>
          </w:tcPr>
          <w:p>
            <w:pPr>
              <w:spacing w:after="0"/>
              <w:rPr>
                <w:sz w:val="8"/>
                <w:szCs w:val="8"/>
                <w:color w:val="auto"/>
              </w:rPr>
            </w:pPr>
          </w:p>
        </w:tc>
        <w:tc>
          <w:tcPr>
            <w:tcW w:w="25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323232"/>
              </w:rPr>
              <w:t>filing, garnishment administration.</w:t>
            </w:r>
          </w:p>
        </w:tc>
        <w:tc>
          <w:tcPr>
            <w:tcW w:w="1880" w:type="dxa"/>
            <w:vAlign w:val="bottom"/>
          </w:tcPr>
          <w:p>
            <w:pPr>
              <w:ind w:left="60"/>
              <w:spacing w:after="0" w:line="103" w:lineRule="exact"/>
              <w:rPr>
                <w:sz w:val="20"/>
                <w:szCs w:val="20"/>
                <w:color w:val="auto"/>
              </w:rPr>
            </w:pPr>
            <w:r>
              <w:rPr>
                <w:rFonts w:ascii="Arial" w:cs="Arial" w:eastAsia="Arial" w:hAnsi="Arial"/>
                <w:sz w:val="11"/>
                <w:szCs w:val="11"/>
                <w:color w:val="auto"/>
              </w:rPr>
              <w:t>OSV</w:t>
            </w:r>
          </w:p>
        </w:tc>
        <w:tc>
          <w:tcPr>
            <w:tcW w:w="180" w:type="dxa"/>
            <w:vAlign w:val="bottom"/>
            <w:tcBorders>
              <w:right w:val="single" w:sz="8" w:color="auto"/>
            </w:tcBorders>
          </w:tcPr>
          <w:p>
            <w:pPr>
              <w:spacing w:after="0"/>
              <w:rPr>
                <w:sz w:val="8"/>
                <w:szCs w:val="8"/>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color w:val="auto"/>
              </w:rPr>
              <w:t>COH</w:t>
            </w:r>
          </w:p>
        </w:tc>
        <w:tc>
          <w:tcPr>
            <w:tcW w:w="140" w:type="dxa"/>
            <w:vAlign w:val="bottom"/>
            <w:tcBorders>
              <w:right w:val="single" w:sz="8" w:color="auto"/>
            </w:tcBorders>
          </w:tcPr>
          <w:p>
            <w:pPr>
              <w:spacing w:after="0"/>
              <w:rPr>
                <w:sz w:val="8"/>
                <w:szCs w:val="8"/>
                <w:color w:val="auto"/>
              </w:rPr>
            </w:pPr>
          </w:p>
        </w:tc>
        <w:tc>
          <w:tcPr>
            <w:tcW w:w="1220" w:type="dxa"/>
            <w:vAlign w:val="bottom"/>
            <w:vMerge w:val="restart"/>
          </w:tcPr>
          <w:p>
            <w:pPr>
              <w:ind w:left="100"/>
              <w:spacing w:after="0"/>
              <w:rPr>
                <w:sz w:val="20"/>
                <w:szCs w:val="20"/>
                <w:color w:val="auto"/>
              </w:rPr>
            </w:pPr>
            <w:r>
              <w:rPr>
                <w:rFonts w:ascii="Arial" w:cs="Arial" w:eastAsia="Arial" w:hAnsi="Arial"/>
                <w:sz w:val="14"/>
                <w:szCs w:val="14"/>
                <w:color w:val="auto"/>
              </w:rPr>
              <w:t>accordance with</w:t>
            </w:r>
          </w:p>
        </w:tc>
        <w:tc>
          <w:tcPr>
            <w:tcW w:w="20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gridSpan w:val="2"/>
            <w:vMerge w:val="continue"/>
          </w:tcPr>
          <w:p>
            <w:pPr>
              <w:spacing w:after="0"/>
              <w:rPr>
                <w:sz w:val="7"/>
                <w:szCs w:val="7"/>
                <w:color w:val="auto"/>
              </w:rPr>
            </w:pPr>
          </w:p>
        </w:tc>
        <w:tc>
          <w:tcPr>
            <w:tcW w:w="1880" w:type="dxa"/>
            <w:vAlign w:val="bottom"/>
            <w:vMerge w:val="restart"/>
          </w:tcPr>
          <w:p>
            <w:pPr>
              <w:ind w:left="60"/>
              <w:spacing w:after="0" w:line="133" w:lineRule="exact"/>
              <w:rPr>
                <w:sz w:val="20"/>
                <w:szCs w:val="20"/>
                <w:color w:val="auto"/>
              </w:rPr>
            </w:pPr>
            <w:r>
              <w:rPr>
                <w:rFonts w:ascii="Arial" w:cs="Arial" w:eastAsia="Arial" w:hAnsi="Arial"/>
                <w:sz w:val="14"/>
                <w:szCs w:val="14"/>
                <w:color w:val="auto"/>
              </w:rPr>
              <w:t>The Work Number – Equifax</w:t>
            </w:r>
          </w:p>
        </w:tc>
        <w:tc>
          <w:tcPr>
            <w:tcW w:w="180" w:type="dxa"/>
            <w:vAlign w:val="bottom"/>
            <w:tcBorders>
              <w:right w:val="single" w:sz="8" w:color="auto"/>
            </w:tcBorders>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20" w:type="dxa"/>
            <w:vAlign w:val="bottom"/>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40" w:type="dxa"/>
            <w:vAlign w:val="bottom"/>
            <w:tcBorders>
              <w:left w:val="single" w:sz="8" w:color="auto"/>
              <w:right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5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323232"/>
              </w:rPr>
              <w:t>Unemployment claims processing and</w:t>
            </w:r>
          </w:p>
        </w:tc>
        <w:tc>
          <w:tcPr>
            <w:tcW w:w="1880" w:type="dxa"/>
            <w:vAlign w:val="bottom"/>
            <w:vMerge w:val="continue"/>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20" w:type="dxa"/>
            <w:vAlign w:val="bottom"/>
            <w:vMerge w:val="restart"/>
          </w:tcPr>
          <w:p>
            <w:pPr>
              <w:ind w:left="100"/>
              <w:spacing w:after="0"/>
              <w:rPr>
                <w:sz w:val="20"/>
                <w:szCs w:val="20"/>
                <w:color w:val="auto"/>
              </w:rPr>
            </w:pPr>
            <w:r>
              <w:rPr>
                <w:rFonts w:ascii="Arial" w:cs="Arial" w:eastAsia="Arial" w:hAnsi="Arial"/>
                <w:sz w:val="14"/>
                <w:szCs w:val="14"/>
                <w:color w:val="auto"/>
                <w:w w:val="99"/>
              </w:rPr>
              <w:t>historical practice</w:t>
            </w:r>
          </w:p>
        </w:tc>
        <w:tc>
          <w:tcPr>
            <w:tcW w:w="200" w:type="dxa"/>
            <w:vAlign w:val="bottom"/>
            <w:tcBorders>
              <w:right w:val="single" w:sz="8" w:color="auto"/>
            </w:tcBorders>
          </w:tcPr>
          <w:p>
            <w:pPr>
              <w:spacing w:after="0"/>
              <w:rPr>
                <w:sz w:val="3"/>
                <w:szCs w:val="3"/>
                <w:color w:val="auto"/>
              </w:rPr>
            </w:pPr>
          </w:p>
        </w:tc>
        <w:tc>
          <w:tcPr>
            <w:tcW w:w="21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40" w:type="dxa"/>
            <w:vAlign w:val="bottom"/>
            <w:tcBorders>
              <w:left w:val="single" w:sz="8" w:color="auto"/>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gridSpan w:val="2"/>
            <w:vMerge w:val="continue"/>
          </w:tcPr>
          <w:p>
            <w:pPr>
              <w:spacing w:after="0"/>
              <w:rPr>
                <w:sz w:val="11"/>
                <w:szCs w:val="11"/>
                <w:color w:val="auto"/>
              </w:rPr>
            </w:pPr>
          </w:p>
        </w:tc>
        <w:tc>
          <w:tcPr>
            <w:tcW w:w="1880" w:type="dxa"/>
            <w:vAlign w:val="bottom"/>
          </w:tcPr>
          <w:p>
            <w:pPr>
              <w:ind w:left="60"/>
              <w:spacing w:after="0" w:line="133" w:lineRule="exact"/>
              <w:rPr>
                <w:sz w:val="20"/>
                <w:szCs w:val="20"/>
                <w:color w:val="auto"/>
              </w:rPr>
            </w:pPr>
            <w:r>
              <w:rPr>
                <w:rFonts w:ascii="Arial" w:cs="Arial" w:eastAsia="Arial" w:hAnsi="Arial"/>
                <w:sz w:val="14"/>
                <w:szCs w:val="14"/>
                <w:color w:val="auto"/>
              </w:rPr>
              <w:t>Celergo/ADP</w:t>
            </w:r>
          </w:p>
        </w:tc>
        <w:tc>
          <w:tcPr>
            <w:tcW w:w="18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0" w:type="dxa"/>
            <w:vAlign w:val="bottom"/>
            <w:tcBorders>
              <w:left w:val="single" w:sz="8" w:color="auto"/>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gridSpan w:val="2"/>
          </w:tcPr>
          <w:p>
            <w:pPr>
              <w:ind w:left="100"/>
              <w:spacing w:after="0" w:line="153" w:lineRule="exact"/>
              <w:rPr>
                <w:sz w:val="20"/>
                <w:szCs w:val="20"/>
                <w:color w:val="auto"/>
              </w:rPr>
            </w:pPr>
            <w:r>
              <w:rPr>
                <w:rFonts w:ascii="Arial" w:cs="Arial" w:eastAsia="Arial" w:hAnsi="Arial"/>
                <w:sz w:val="14"/>
                <w:szCs w:val="14"/>
                <w:color w:val="323232"/>
                <w:w w:val="94"/>
              </w:rPr>
              <w:t>employment/income verifications. Global</w:t>
            </w:r>
          </w:p>
        </w:tc>
        <w:tc>
          <w:tcPr>
            <w:tcW w:w="18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323232"/>
              </w:rPr>
              <w:t>payroll processing and support.</w:t>
            </w:r>
          </w:p>
        </w:tc>
        <w:tc>
          <w:tcPr>
            <w:tcW w:w="18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00"/>
          </w:cols>
          <w:pgMar w:left="300" w:top="1125" w:right="299" w:bottom="1440" w:gutter="0" w:footer="0" w:header="0"/>
        </w:sectPr>
      </w:pPr>
    </w:p>
    <w:bookmarkStart w:id="250" w:name="page251"/>
    <w:bookmarkEnd w:id="250"/>
    <w:tbl>
      <w:tblPr>
        <w:tblLayout w:type="fixed"/>
        <w:tblInd w:w="10" w:type="dxa"/>
        <w:tblCellMar>
          <w:top w:w="0" w:type="dxa"/>
          <w:left w:w="0" w:type="dxa"/>
          <w:bottom w:w="0" w:type="dxa"/>
          <w:right w:w="0" w:type="dxa"/>
        </w:tblCellMar>
      </w:tblPr>
      <w:tr>
        <w:trPr>
          <w:trHeight w:val="184"/>
        </w:trPr>
        <w:tc>
          <w:tcPr>
            <w:tcW w:w="440" w:type="dxa"/>
            <w:vAlign w:val="bottom"/>
            <w:tcBorders>
              <w:top w:val="single" w:sz="8" w:color="auto"/>
              <w:left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2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4"/>
              </w:rPr>
              <w:t>Administration of the following programs:</w:t>
            </w:r>
          </w:p>
        </w:tc>
        <w:tc>
          <w:tcPr>
            <w:tcW w:w="206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rPr>
                <w:sz w:val="16"/>
                <w:szCs w:val="16"/>
                <w:color w:val="auto"/>
              </w:rPr>
            </w:pPr>
          </w:p>
        </w:tc>
        <w:tc>
          <w:tcPr>
            <w:tcW w:w="21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Medical, dental, vision, etc.; Group</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Life/STD/LTD/FMLA;</w:t>
            </w: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Alight</w:t>
            </w: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40" w:type="dxa"/>
            <w:vAlign w:val="bottom"/>
            <w:tcBorders>
              <w:left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STD/LTD/FMLA/PFL; Employee</w:t>
            </w:r>
          </w:p>
        </w:tc>
        <w:tc>
          <w:tcPr>
            <w:tcW w:w="2060" w:type="dxa"/>
            <w:vAlign w:val="bottom"/>
            <w:tcBorders>
              <w:right w:val="single" w:sz="8" w:color="auto"/>
            </w:tcBorders>
            <w:vMerge w:val="continue"/>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Bright Horizons</w:t>
            </w:r>
          </w:p>
        </w:tc>
        <w:tc>
          <w:tcPr>
            <w:tcW w:w="1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Assistance Program, Counseling and</w:t>
            </w:r>
          </w:p>
        </w:tc>
        <w:tc>
          <w:tcPr>
            <w:tcW w:w="206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Lincoln</w:t>
            </w:r>
          </w:p>
        </w:tc>
        <w:tc>
          <w:tcPr>
            <w:tcW w:w="1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Health and Welfare</w:t>
            </w: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Resources for Parents, Virtual Fitness</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EY</w:t>
            </w: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60</w:t>
            </w:r>
          </w:p>
        </w:tc>
        <w:tc>
          <w:tcPr>
            <w:tcW w:w="1580" w:type="dxa"/>
            <w:vAlign w:val="bottom"/>
            <w:tcBorders>
              <w:right w:val="single" w:sz="8" w:color="auto"/>
            </w:tcBorders>
            <w:vMerge w:val="continue"/>
          </w:tcPr>
          <w:p>
            <w:pPr>
              <w:spacing w:after="0"/>
              <w:rPr>
                <w:sz w:val="8"/>
                <w:szCs w:val="8"/>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Classes, Wellness platform includes</w:t>
            </w:r>
          </w:p>
        </w:tc>
        <w:tc>
          <w:tcPr>
            <w:tcW w:w="2060" w:type="dxa"/>
            <w:vAlign w:val="bottom"/>
            <w:tcBorders>
              <w:right w:val="single" w:sz="8" w:color="auto"/>
            </w:tcBorders>
          </w:tcPr>
          <w:p>
            <w:pPr>
              <w:ind w:left="60"/>
              <w:spacing w:after="0" w:line="103" w:lineRule="exact"/>
              <w:rPr>
                <w:sz w:val="20"/>
                <w:szCs w:val="20"/>
                <w:color w:val="auto"/>
              </w:rPr>
            </w:pPr>
            <w:r>
              <w:rPr>
                <w:rFonts w:ascii="Arial" w:cs="Arial" w:eastAsia="Arial" w:hAnsi="Arial"/>
                <w:sz w:val="11"/>
                <w:szCs w:val="11"/>
                <w:color w:val="auto"/>
              </w:rPr>
              <w:t>Virgin Pulse</w:t>
            </w: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ind w:left="40"/>
              <w:spacing w:after="0" w:line="144" w:lineRule="exact"/>
              <w:rPr>
                <w:sz w:val="20"/>
                <w:szCs w:val="20"/>
                <w:color w:val="auto"/>
              </w:rPr>
            </w:pPr>
            <w:r>
              <w:rPr>
                <w:rFonts w:ascii="Arial" w:cs="Arial" w:eastAsia="Arial" w:hAnsi="Arial"/>
                <w:sz w:val="14"/>
                <w:szCs w:val="14"/>
                <w:b w:val="1"/>
                <w:bCs w:val="1"/>
                <w:color w:val="auto"/>
              </w:rPr>
              <w:t>Administration</w:t>
            </w:r>
          </w:p>
        </w:tc>
        <w:tc>
          <w:tcPr>
            <w:tcW w:w="25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restart"/>
          </w:tcPr>
          <w:p>
            <w:pPr>
              <w:ind w:left="60"/>
              <w:spacing w:after="0" w:line="144" w:lineRule="exact"/>
              <w:rPr>
                <w:sz w:val="20"/>
                <w:szCs w:val="20"/>
                <w:color w:val="auto"/>
              </w:rPr>
            </w:pPr>
            <w:r>
              <w:rPr>
                <w:rFonts w:ascii="Arial" w:cs="Arial" w:eastAsia="Arial" w:hAnsi="Arial"/>
                <w:sz w:val="14"/>
                <w:szCs w:val="14"/>
                <w:color w:val="auto"/>
              </w:rPr>
              <w:t>Humana/HRI</w:t>
            </w:r>
          </w:p>
        </w:tc>
        <w:tc>
          <w:tcPr>
            <w:tcW w:w="110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4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vMerge w:val="continue"/>
          </w:tcPr>
          <w:p>
            <w:pPr>
              <w:spacing w:after="0"/>
              <w:rPr>
                <w:sz w:val="4"/>
                <w:szCs w:val="4"/>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wellness challenges, tips, tracking &amp;</w:t>
            </w:r>
          </w:p>
        </w:tc>
        <w:tc>
          <w:tcPr>
            <w:tcW w:w="206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4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Rethink Benefits</w:t>
            </w:r>
          </w:p>
        </w:tc>
        <w:tc>
          <w:tcPr>
            <w:tcW w:w="1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resources for employees; Employee</w:t>
            </w:r>
          </w:p>
        </w:tc>
        <w:tc>
          <w:tcPr>
            <w:tcW w:w="206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Health Fitness Corporation</w:t>
            </w:r>
          </w:p>
        </w:tc>
        <w:tc>
          <w:tcPr>
            <w:tcW w:w="1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4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color w:val="auto"/>
              </w:rPr>
              <w:t>assistance program; Tuition</w:t>
            </w:r>
          </w:p>
        </w:tc>
        <w:tc>
          <w:tcPr>
            <w:tcW w:w="206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4"/>
                <w:szCs w:val="14"/>
                <w:color w:val="auto"/>
              </w:rPr>
              <w:t>AARP/UHC</w:t>
            </w:r>
          </w:p>
        </w:tc>
        <w:tc>
          <w:tcPr>
            <w:tcW w:w="1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3"/>
              </w:rPr>
              <w:t>reimbursement; Student loan repayment;</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Evernorth/Cigna</w:t>
            </w: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40" w:type="dxa"/>
            <w:vAlign w:val="bottom"/>
            <w:tcBorders>
              <w:left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2520" w:type="dxa"/>
            <w:vAlign w:val="bottom"/>
            <w:tcBorders>
              <w:right w:val="single" w:sz="8" w:color="auto"/>
            </w:tcBorders>
            <w:vMerge w:val="continue"/>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Financial planning services to employees,</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webinars and learning opportunities</w:t>
            </w:r>
          </w:p>
        </w:tc>
        <w:tc>
          <w:tcPr>
            <w:tcW w:w="20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8"/>
              </w:rPr>
              <w:t>Recruiters, job posting board costs, college</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recruiting fees &amp; budget; Candidate</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screening tool; Interviews; Specialized</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contractors or short term work needs;</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Specialized contractors with the Company</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focus on Underwriting background or</w:t>
            </w: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Workday</w:t>
            </w: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40" w:type="dxa"/>
            <w:vAlign w:val="bottom"/>
            <w:tcBorders>
              <w:left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2"/>
              </w:rPr>
              <w:t>related roles; 3rd party background check</w:t>
            </w:r>
          </w:p>
        </w:tc>
        <w:tc>
          <w:tcPr>
            <w:tcW w:w="2060" w:type="dxa"/>
            <w:vAlign w:val="bottom"/>
            <w:tcBorders>
              <w:right w:val="single" w:sz="8" w:color="auto"/>
            </w:tcBorders>
            <w:vMerge w:val="continue"/>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61</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Recruiting</w:t>
            </w:r>
          </w:p>
        </w:tc>
        <w:tc>
          <w:tcPr>
            <w:tcW w:w="252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Monument</w:t>
            </w:r>
          </w:p>
        </w:tc>
        <w:tc>
          <w:tcPr>
            <w:tcW w:w="1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52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vendor for all new hires (standard</w:t>
            </w:r>
          </w:p>
        </w:tc>
        <w:tc>
          <w:tcPr>
            <w:tcW w:w="2060" w:type="dxa"/>
            <w:vAlign w:val="bottom"/>
            <w:tcBorders>
              <w:right w:val="single" w:sz="8" w:color="auto"/>
            </w:tcBorders>
            <w:vMerge w:val="restart"/>
          </w:tcPr>
          <w:p>
            <w:pPr>
              <w:ind w:left="60"/>
              <w:spacing w:after="0" w:line="133" w:lineRule="exact"/>
              <w:rPr>
                <w:sz w:val="20"/>
                <w:szCs w:val="20"/>
                <w:color w:val="auto"/>
              </w:rPr>
            </w:pPr>
            <w:r>
              <w:rPr>
                <w:rFonts w:ascii="Arial" w:cs="Arial" w:eastAsia="Arial" w:hAnsi="Arial"/>
                <w:sz w:val="14"/>
                <w:szCs w:val="14"/>
                <w:color w:val="auto"/>
              </w:rPr>
              <w:t>HireVue</w:t>
            </w:r>
          </w:p>
        </w:tc>
        <w:tc>
          <w:tcPr>
            <w:tcW w:w="11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auto"/>
              <w:right w:val="single" w:sz="8" w:color="auto"/>
            </w:tcBorders>
            <w:vMerge w:val="continue"/>
          </w:tcPr>
          <w:p>
            <w:pPr>
              <w:spacing w:after="0"/>
              <w:rPr>
                <w:sz w:val="4"/>
                <w:szCs w:val="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Administration</w:t>
            </w:r>
          </w:p>
        </w:tc>
        <w:tc>
          <w:tcPr>
            <w:tcW w:w="2520" w:type="dxa"/>
            <w:vAlign w:val="bottom"/>
            <w:tcBorders>
              <w:right w:val="single" w:sz="8" w:color="auto"/>
            </w:tcBorders>
            <w:vMerge w:val="continue"/>
          </w:tcPr>
          <w:p>
            <w:pPr>
              <w:spacing w:after="0"/>
              <w:rPr>
                <w:sz w:val="4"/>
                <w:szCs w:val="4"/>
                <w:color w:val="auto"/>
              </w:rPr>
            </w:pPr>
          </w:p>
        </w:tc>
        <w:tc>
          <w:tcPr>
            <w:tcW w:w="206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background &amp; DMV for company car-</w:t>
            </w: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Sterling</w:t>
            </w:r>
          </w:p>
        </w:tc>
        <w:tc>
          <w:tcPr>
            <w:tcW w:w="1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40" w:type="dxa"/>
            <w:vAlign w:val="bottom"/>
            <w:tcBorders>
              <w:left w:val="single" w:sz="8" w:color="auto"/>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2520" w:type="dxa"/>
            <w:vAlign w:val="bottom"/>
            <w:tcBorders>
              <w:right w:val="single" w:sz="8" w:color="auto"/>
            </w:tcBorders>
            <w:vMerge w:val="continue"/>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20" w:type="dxa"/>
            <w:vAlign w:val="bottom"/>
            <w:tcBorders>
              <w:right w:val="single" w:sz="8" w:color="auto"/>
            </w:tcBorders>
            <w:vMerge w:val="continue"/>
          </w:tcPr>
          <w:p>
            <w:pPr>
              <w:spacing w:after="0"/>
              <w:rPr>
                <w:sz w:val="3"/>
                <w:szCs w:val="3"/>
                <w:color w:val="auto"/>
              </w:rPr>
            </w:pPr>
          </w:p>
        </w:tc>
        <w:tc>
          <w:tcPr>
            <w:tcW w:w="21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4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8"/>
              </w:rPr>
              <w:t>eligible employees); Home sale &amp; purchase</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Serva</w:t>
            </w:r>
          </w:p>
        </w:tc>
        <w:tc>
          <w:tcPr>
            <w:tcW w:w="1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support, moving assistance, lump sums for</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6"/>
              </w:rPr>
              <w:t>some eligible employees; External legal</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support &amp; administration for employees</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with visa requirements including H1B,</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6"/>
              </w:rPr>
              <w:t>green card and other visa needs; Headcount</w:t>
            </w:r>
          </w:p>
        </w:tc>
        <w:tc>
          <w:tcPr>
            <w:tcW w:w="20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00"/>
          </w:cols>
          <w:pgMar w:left="300" w:top="1125" w:right="299" w:bottom="1440" w:gutter="0" w:footer="0" w:header="0"/>
        </w:sectPr>
      </w:pPr>
    </w:p>
    <w:bookmarkStart w:id="251" w:name="page252"/>
    <w:bookmarkEnd w:id="251"/>
    <w:tbl>
      <w:tblPr>
        <w:tblLayout w:type="fixed"/>
        <w:tblInd w:w="10" w:type="dxa"/>
        <w:tblCellMar>
          <w:top w:w="0" w:type="dxa"/>
          <w:left w:w="0" w:type="dxa"/>
          <w:bottom w:w="0" w:type="dxa"/>
          <w:right w:w="0" w:type="dxa"/>
        </w:tblCellMar>
      </w:tblPr>
      <w:tr>
        <w:trPr>
          <w:trHeight w:val="144"/>
        </w:trPr>
        <w:tc>
          <w:tcPr>
            <w:tcW w:w="44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color w:val="auto"/>
                <w:w w:val="88"/>
              </w:rPr>
              <w:t>Benchmarking surveys for compensation in</w:t>
            </w:r>
          </w:p>
        </w:tc>
        <w:tc>
          <w:tcPr>
            <w:tcW w:w="2060" w:type="dxa"/>
            <w:vAlign w:val="bottom"/>
            <w:tcBorders>
              <w:top w:val="single" w:sz="8" w:color="auto"/>
              <w:right w:val="single" w:sz="8" w:color="auto"/>
            </w:tcBorders>
          </w:tcPr>
          <w:p>
            <w:pPr>
              <w:ind w:left="60"/>
              <w:spacing w:after="0" w:line="144" w:lineRule="exact"/>
              <w:rPr>
                <w:sz w:val="20"/>
                <w:szCs w:val="20"/>
                <w:color w:val="auto"/>
              </w:rPr>
            </w:pPr>
            <w:r>
              <w:rPr>
                <w:rFonts w:ascii="Arial" w:cs="Arial" w:eastAsia="Arial" w:hAnsi="Arial"/>
                <w:sz w:val="14"/>
                <w:szCs w:val="14"/>
                <w:color w:val="auto"/>
              </w:rPr>
              <w:t>Fidelity</w:t>
            </w:r>
          </w:p>
        </w:tc>
        <w:tc>
          <w:tcPr>
            <w:tcW w:w="110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21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Compensation and</w:t>
            </w:r>
          </w:p>
        </w:tc>
        <w:tc>
          <w:tcPr>
            <w:tcW w:w="252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4"/>
                <w:szCs w:val="14"/>
                <w:color w:val="auto"/>
              </w:rPr>
              <w:t>Mercer</w:t>
            </w:r>
          </w:p>
        </w:tc>
        <w:tc>
          <w:tcPr>
            <w:tcW w:w="1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62</w:t>
            </w:r>
          </w:p>
        </w:tc>
        <w:tc>
          <w:tcPr>
            <w:tcW w:w="158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8"/>
              </w:rPr>
              <w:t>related fields/industries to assure comp</w:t>
            </w: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Principal</w:t>
            </w: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4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Equity Administration</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2"/>
              </w:rPr>
              <w:t>practices remain current and competitive;</w:t>
            </w:r>
          </w:p>
        </w:tc>
        <w:tc>
          <w:tcPr>
            <w:tcW w:w="20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Willis Towers Watson</w:t>
            </w: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100"/>
              <w:spacing w:after="0" w:line="134" w:lineRule="exact"/>
              <w:rPr>
                <w:sz w:val="20"/>
                <w:szCs w:val="20"/>
                <w:color w:val="auto"/>
              </w:rPr>
            </w:pPr>
            <w:r>
              <w:rPr>
                <w:rFonts w:ascii="Arial" w:cs="Arial" w:eastAsia="Arial" w:hAnsi="Arial"/>
                <w:sz w:val="14"/>
                <w:szCs w:val="14"/>
                <w:color w:val="auto"/>
                <w:w w:val="93"/>
              </w:rPr>
              <w:t>Compensation and equity administration.</w:t>
            </w:r>
          </w:p>
        </w:tc>
        <w:tc>
          <w:tcPr>
            <w:tcW w:w="20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40" w:type="dxa"/>
            <w:vAlign w:val="bottom"/>
            <w:tcBorders>
              <w:left w:val="single" w:sz="8" w:color="auto"/>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2520" w:type="dxa"/>
            <w:vAlign w:val="bottom"/>
            <w:tcBorders>
              <w:right w:val="single" w:sz="8" w:color="auto"/>
            </w:tcBorders>
            <w:vMerge w:val="continue"/>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21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Fragoman</w:t>
            </w:r>
          </w:p>
        </w:tc>
        <w:tc>
          <w:tcPr>
            <w:tcW w:w="110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Learning configuration within the Workday</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Learning and</w:t>
            </w: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tool to administer and track voluntary,</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63</w:t>
            </w:r>
          </w:p>
        </w:tc>
        <w:tc>
          <w:tcPr>
            <w:tcW w:w="158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100"/>
              <w:spacing w:after="0" w:line="154" w:lineRule="exact"/>
              <w:rPr>
                <w:sz w:val="20"/>
                <w:szCs w:val="20"/>
                <w:color w:val="auto"/>
              </w:rPr>
            </w:pPr>
            <w:r>
              <w:rPr>
                <w:rFonts w:ascii="Arial" w:cs="Arial" w:eastAsia="Arial" w:hAnsi="Arial"/>
                <w:sz w:val="14"/>
                <w:szCs w:val="14"/>
                <w:color w:val="auto"/>
                <w:w w:val="91"/>
              </w:rPr>
              <w:t>required and compliance training courses;</w:t>
            </w:r>
          </w:p>
        </w:tc>
        <w:tc>
          <w:tcPr>
            <w:tcW w:w="2060" w:type="dxa"/>
            <w:vAlign w:val="bottom"/>
            <w:tcBorders>
              <w:right w:val="single" w:sz="8" w:color="auto"/>
            </w:tcBorders>
            <w:vMerge w:val="restart"/>
          </w:tcPr>
          <w:p>
            <w:pPr>
              <w:ind w:left="60"/>
              <w:spacing w:after="0" w:line="154" w:lineRule="exact"/>
              <w:rPr>
                <w:sz w:val="20"/>
                <w:szCs w:val="20"/>
                <w:color w:val="auto"/>
              </w:rPr>
            </w:pPr>
            <w:r>
              <w:rPr>
                <w:rFonts w:ascii="Arial" w:cs="Arial" w:eastAsia="Arial" w:hAnsi="Arial"/>
                <w:sz w:val="14"/>
                <w:szCs w:val="14"/>
                <w:color w:val="auto"/>
              </w:rPr>
              <w:t>Workday</w:t>
            </w: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4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Development</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3"/>
              </w:rPr>
              <w:t>External resource library of technical and</w:t>
            </w: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LinkedIn Learning</w:t>
            </w:r>
          </w:p>
        </w:tc>
        <w:tc>
          <w:tcPr>
            <w:tcW w:w="110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non-technical training classes, white</w:t>
            </w:r>
          </w:p>
        </w:tc>
        <w:tc>
          <w:tcPr>
            <w:tcW w:w="20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4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papers, talks and other coursework.</w:t>
            </w:r>
          </w:p>
        </w:tc>
        <w:tc>
          <w:tcPr>
            <w:tcW w:w="20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64</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401K Administration</w:t>
            </w:r>
          </w:p>
        </w:tc>
        <w:tc>
          <w:tcPr>
            <w:tcW w:w="25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continue"/>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401k plan and equity administration</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Alight</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Virtual doctor visits for employees; 2nd</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Other HR</w:t>
            </w: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opinion service for major medical</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65</w:t>
            </w:r>
          </w:p>
        </w:tc>
        <w:tc>
          <w:tcPr>
            <w:tcW w:w="158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ind w:left="100"/>
              <w:spacing w:after="0" w:line="154" w:lineRule="exact"/>
              <w:rPr>
                <w:sz w:val="20"/>
                <w:szCs w:val="20"/>
                <w:color w:val="auto"/>
              </w:rPr>
            </w:pPr>
            <w:r>
              <w:rPr>
                <w:rFonts w:ascii="Arial" w:cs="Arial" w:eastAsia="Arial" w:hAnsi="Arial"/>
                <w:sz w:val="14"/>
                <w:szCs w:val="14"/>
                <w:color w:val="auto"/>
                <w:w w:val="89"/>
              </w:rPr>
              <w:t>diagnoses, available to employees &amp; those</w:t>
            </w:r>
          </w:p>
        </w:tc>
        <w:tc>
          <w:tcPr>
            <w:tcW w:w="2060" w:type="dxa"/>
            <w:vAlign w:val="bottom"/>
            <w:tcBorders>
              <w:right w:val="single" w:sz="8" w:color="auto"/>
            </w:tcBorders>
            <w:vMerge w:val="restart"/>
          </w:tcPr>
          <w:p>
            <w:pPr>
              <w:ind w:left="60"/>
              <w:spacing w:after="0" w:line="154" w:lineRule="exact"/>
              <w:rPr>
                <w:sz w:val="20"/>
                <w:szCs w:val="20"/>
                <w:color w:val="auto"/>
              </w:rPr>
            </w:pPr>
            <w:r>
              <w:rPr>
                <w:rFonts w:ascii="Arial" w:cs="Arial" w:eastAsia="Arial" w:hAnsi="Arial"/>
                <w:sz w:val="14"/>
                <w:szCs w:val="14"/>
                <w:color w:val="auto"/>
              </w:rPr>
              <w:t>2</w:t>
            </w:r>
            <w:r>
              <w:rPr>
                <w:rFonts w:ascii="Arial" w:cs="Arial" w:eastAsia="Arial" w:hAnsi="Arial"/>
                <w:sz w:val="17"/>
                <w:szCs w:val="17"/>
                <w:color w:val="auto"/>
                <w:vertAlign w:val="superscript"/>
              </w:rPr>
              <w:t>nd</w:t>
            </w:r>
            <w:r>
              <w:rPr>
                <w:rFonts w:ascii="Arial" w:cs="Arial" w:eastAsia="Arial" w:hAnsi="Arial"/>
                <w:sz w:val="14"/>
                <w:szCs w:val="14"/>
                <w:color w:val="auto"/>
              </w:rPr>
              <w:t xml:space="preserve"> MD</w:t>
            </w: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4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Administration</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1"/>
              </w:rPr>
              <w:t>they care for; Employee giving tool; tracks</w:t>
            </w: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UpLift</w:t>
            </w:r>
          </w:p>
        </w:tc>
        <w:tc>
          <w:tcPr>
            <w:tcW w:w="110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4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7"/>
              </w:rPr>
              <w:t>volunteer time, donations and company</w:t>
            </w:r>
          </w:p>
        </w:tc>
        <w:tc>
          <w:tcPr>
            <w:tcW w:w="20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40" w:type="dxa"/>
            <w:vAlign w:val="bottom"/>
            <w:tcBorders>
              <w:left w:val="single" w:sz="8" w:color="auto"/>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match</w:t>
            </w:r>
          </w:p>
        </w:tc>
        <w:tc>
          <w:tcPr>
            <w:tcW w:w="20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66</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HR Staff</w:t>
            </w:r>
          </w:p>
        </w:tc>
        <w:tc>
          <w:tcPr>
            <w:tcW w:w="25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Calculated in</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right w:val="single" w:sz="8" w:color="auto"/>
            </w:tcBorders>
            <w:vMerge w:val="continue"/>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2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Services provided by HR HQ Staff</w:t>
            </w:r>
          </w:p>
        </w:tc>
        <w:tc>
          <w:tcPr>
            <w:tcW w:w="2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COH</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accordance with</w:t>
            </w: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historical practice</w:t>
            </w: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00"/>
          </w:cols>
          <w:pgMar w:left="300" w:top="1125" w:right="299"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b w:val="1"/>
          <w:bCs w:val="1"/>
          <w:color w:val="auto"/>
        </w:rPr>
        <w:t>Investments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6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right w:val="single" w:sz="8" w:color="auto"/>
            </w:tcBorders>
            <w:vMerge w:val="restart"/>
            <w:shd w:val="clear" w:color="auto" w:fill="C6D9F1"/>
          </w:tcPr>
          <w:p>
            <w:pPr>
              <w:ind w:left="160"/>
              <w:spacing w:after="0"/>
              <w:rPr>
                <w:sz w:val="20"/>
                <w:szCs w:val="20"/>
                <w:color w:val="auto"/>
              </w:rPr>
            </w:pPr>
            <w:r>
              <w:rPr>
                <w:rFonts w:ascii="Arial" w:cs="Arial" w:eastAsia="Arial" w:hAnsi="Arial"/>
                <w:sz w:val="14"/>
                <w:szCs w:val="14"/>
                <w:b w:val="1"/>
                <w:bCs w:val="1"/>
                <w:color w:val="auto"/>
                <w:w w:val="99"/>
              </w:rPr>
              <w:t>Service Category</w:t>
            </w:r>
          </w:p>
        </w:tc>
        <w:tc>
          <w:tcPr>
            <w:tcW w:w="2820" w:type="dxa"/>
            <w:vAlign w:val="bottom"/>
            <w:tcBorders>
              <w:top w:val="single" w:sz="8" w:color="auto"/>
              <w:right w:val="single" w:sz="8" w:color="auto"/>
            </w:tcBorders>
            <w:vMerge w:val="restart"/>
            <w:shd w:val="clear" w:color="auto" w:fill="C6D9F1"/>
          </w:tcPr>
          <w:p>
            <w:pPr>
              <w:ind w:left="720"/>
              <w:spacing w:after="0"/>
              <w:rPr>
                <w:sz w:val="20"/>
                <w:szCs w:val="20"/>
                <w:color w:val="auto"/>
              </w:rPr>
            </w:pPr>
            <w:r>
              <w:rPr>
                <w:rFonts w:ascii="Arial" w:cs="Arial" w:eastAsia="Arial" w:hAnsi="Arial"/>
                <w:sz w:val="14"/>
                <w:szCs w:val="14"/>
                <w:b w:val="1"/>
                <w:bCs w:val="1"/>
                <w:color w:val="auto"/>
              </w:rPr>
              <w:t>Description of Services</w:t>
            </w:r>
          </w:p>
        </w:tc>
        <w:tc>
          <w:tcPr>
            <w:tcW w:w="2380" w:type="dxa"/>
            <w:vAlign w:val="bottom"/>
            <w:tcBorders>
              <w:top w:val="single" w:sz="8" w:color="auto"/>
              <w:right w:val="single" w:sz="8" w:color="auto"/>
            </w:tcBorders>
            <w:vMerge w:val="restart"/>
            <w:shd w:val="clear" w:color="auto" w:fill="C6D9F1"/>
          </w:tcPr>
          <w:p>
            <w:pPr>
              <w:ind w:left="480"/>
              <w:spacing w:after="0"/>
              <w:rPr>
                <w:sz w:val="20"/>
                <w:szCs w:val="20"/>
                <w:color w:val="auto"/>
              </w:rPr>
            </w:pPr>
            <w:r>
              <w:rPr>
                <w:rFonts w:ascii="Arial" w:cs="Arial" w:eastAsia="Arial" w:hAnsi="Arial"/>
                <w:sz w:val="14"/>
                <w:szCs w:val="14"/>
                <w:b w:val="1"/>
                <w:bCs w:val="1"/>
                <w:color w:val="auto"/>
              </w:rPr>
              <w:t>Additional Information</w:t>
            </w:r>
          </w:p>
        </w:tc>
        <w:tc>
          <w:tcPr>
            <w:tcW w:w="1180" w:type="dxa"/>
            <w:vAlign w:val="bottom"/>
            <w:tcBorders>
              <w:top w:val="single" w:sz="8" w:color="auto"/>
              <w:right w:val="single" w:sz="8" w:color="auto"/>
            </w:tcBorders>
            <w:vMerge w:val="restart"/>
            <w:shd w:val="clear" w:color="auto" w:fill="C6D9F1"/>
          </w:tcPr>
          <w:p>
            <w:pPr>
              <w:ind w:left="180"/>
              <w:spacing w:after="0"/>
              <w:rPr>
                <w:sz w:val="20"/>
                <w:szCs w:val="20"/>
                <w:color w:val="auto"/>
              </w:rPr>
            </w:pPr>
            <w:r>
              <w:rPr>
                <w:rFonts w:ascii="Arial" w:cs="Arial" w:eastAsia="Arial" w:hAnsi="Arial"/>
                <w:sz w:val="14"/>
                <w:szCs w:val="14"/>
                <w:b w:val="1"/>
                <w:bCs w:val="1"/>
                <w:color w:val="auto"/>
              </w:rPr>
              <w:t>Expense Type</w:t>
            </w:r>
          </w:p>
        </w:tc>
        <w:tc>
          <w:tcPr>
            <w:tcW w:w="1560" w:type="dxa"/>
            <w:vAlign w:val="bottom"/>
            <w:tcBorders>
              <w:top w:val="single" w:sz="8" w:color="auto"/>
              <w:right w:val="single" w:sz="8" w:color="auto"/>
            </w:tcBorders>
            <w:vMerge w:val="restart"/>
            <w:shd w:val="clear" w:color="auto" w:fill="C6D9F1"/>
          </w:tcPr>
          <w:p>
            <w:pPr>
              <w:ind w:left="80"/>
              <w:spacing w:after="0"/>
              <w:rPr>
                <w:sz w:val="20"/>
                <w:szCs w:val="20"/>
                <w:color w:val="auto"/>
              </w:rPr>
            </w:pPr>
            <w:r>
              <w:rPr>
                <w:rFonts w:ascii="Arial" w:cs="Arial" w:eastAsia="Arial" w:hAnsi="Arial"/>
                <w:sz w:val="14"/>
                <w:szCs w:val="14"/>
                <w:b w:val="1"/>
                <w:bCs w:val="1"/>
                <w:color w:val="auto"/>
              </w:rPr>
              <w:t>Service Fee</w:t>
            </w:r>
          </w:p>
        </w:tc>
        <w:tc>
          <w:tcPr>
            <w:tcW w:w="1560" w:type="dxa"/>
            <w:vAlign w:val="bottom"/>
            <w:tcBorders>
              <w:top w:val="single" w:sz="8" w:color="auto"/>
              <w:right w:val="single" w:sz="8" w:color="auto"/>
            </w:tcBorders>
            <w:shd w:val="clear" w:color="auto" w:fill="C6D9F1"/>
          </w:tcPr>
          <w:p>
            <w:pPr>
              <w:ind w:left="60"/>
              <w:spacing w:after="0" w:line="144"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102"/>
        </w:trPr>
        <w:tc>
          <w:tcPr>
            <w:tcW w:w="460" w:type="dxa"/>
            <w:vAlign w:val="bottom"/>
            <w:tcBorders>
              <w:left w:val="single" w:sz="8" w:color="auto"/>
              <w:right w:val="single" w:sz="8" w:color="auto"/>
            </w:tcBorders>
            <w:vMerge w:val="continue"/>
            <w:shd w:val="clear" w:color="auto" w:fill="C6D9F1"/>
          </w:tcPr>
          <w:p>
            <w:pPr>
              <w:spacing w:after="0"/>
              <w:rPr>
                <w:sz w:val="8"/>
                <w:szCs w:val="8"/>
                <w:color w:val="auto"/>
              </w:rPr>
            </w:pPr>
          </w:p>
        </w:tc>
        <w:tc>
          <w:tcPr>
            <w:tcW w:w="1340" w:type="dxa"/>
            <w:vAlign w:val="bottom"/>
            <w:tcBorders>
              <w:right w:val="single" w:sz="8" w:color="auto"/>
            </w:tcBorders>
            <w:vMerge w:val="continue"/>
            <w:shd w:val="clear" w:color="auto" w:fill="C6D9F1"/>
          </w:tcPr>
          <w:p>
            <w:pPr>
              <w:spacing w:after="0"/>
              <w:rPr>
                <w:sz w:val="8"/>
                <w:szCs w:val="8"/>
                <w:color w:val="auto"/>
              </w:rPr>
            </w:pPr>
          </w:p>
        </w:tc>
        <w:tc>
          <w:tcPr>
            <w:tcW w:w="2820" w:type="dxa"/>
            <w:vAlign w:val="bottom"/>
            <w:tcBorders>
              <w:right w:val="single" w:sz="8" w:color="auto"/>
            </w:tcBorders>
            <w:vMerge w:val="continue"/>
            <w:shd w:val="clear" w:color="auto" w:fill="C6D9F1"/>
          </w:tcPr>
          <w:p>
            <w:pPr>
              <w:spacing w:after="0"/>
              <w:rPr>
                <w:sz w:val="8"/>
                <w:szCs w:val="8"/>
                <w:color w:val="auto"/>
              </w:rPr>
            </w:pPr>
          </w:p>
        </w:tc>
        <w:tc>
          <w:tcPr>
            <w:tcW w:w="2380" w:type="dxa"/>
            <w:vAlign w:val="bottom"/>
            <w:tcBorders>
              <w:right w:val="single" w:sz="8" w:color="auto"/>
            </w:tcBorders>
            <w:vMerge w:val="continue"/>
            <w:shd w:val="clear" w:color="auto" w:fill="C6D9F1"/>
          </w:tcPr>
          <w:p>
            <w:pPr>
              <w:spacing w:after="0"/>
              <w:rPr>
                <w:sz w:val="8"/>
                <w:szCs w:val="8"/>
                <w:color w:val="auto"/>
              </w:rPr>
            </w:pPr>
          </w:p>
        </w:tc>
        <w:tc>
          <w:tcPr>
            <w:tcW w:w="1180" w:type="dxa"/>
            <w:vAlign w:val="bottom"/>
            <w:tcBorders>
              <w:right w:val="single" w:sz="8" w:color="auto"/>
            </w:tcBorders>
            <w:vMerge w:val="continue"/>
            <w:shd w:val="clear" w:color="auto" w:fill="C6D9F1"/>
          </w:tcPr>
          <w:p>
            <w:pPr>
              <w:spacing w:after="0"/>
              <w:rPr>
                <w:sz w:val="8"/>
                <w:szCs w:val="8"/>
                <w:color w:val="auto"/>
              </w:rPr>
            </w:pPr>
          </w:p>
        </w:tc>
        <w:tc>
          <w:tcPr>
            <w:tcW w:w="1560" w:type="dxa"/>
            <w:vAlign w:val="bottom"/>
            <w:tcBorders>
              <w:right w:val="single" w:sz="8" w:color="auto"/>
            </w:tcBorders>
            <w:vMerge w:val="continue"/>
            <w:shd w:val="clear" w:color="auto" w:fill="C6D9F1"/>
          </w:tcPr>
          <w:p>
            <w:pPr>
              <w:spacing w:after="0"/>
              <w:rPr>
                <w:sz w:val="8"/>
                <w:szCs w:val="8"/>
                <w:color w:val="auto"/>
              </w:rPr>
            </w:pPr>
          </w:p>
        </w:tc>
        <w:tc>
          <w:tcPr>
            <w:tcW w:w="1560" w:type="dxa"/>
            <w:vAlign w:val="bottom"/>
            <w:tcBorders>
              <w:right w:val="single" w:sz="8" w:color="auto"/>
            </w:tcBorders>
            <w:vMerge w:val="restart"/>
            <w:shd w:val="clear" w:color="auto" w:fill="C6D9F1"/>
          </w:tcPr>
          <w:p>
            <w:pPr>
              <w:ind w:left="8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460" w:type="dxa"/>
            <w:vAlign w:val="bottom"/>
            <w:tcBorders>
              <w:left w:val="single" w:sz="8" w:color="auto"/>
              <w:bottom w:val="single" w:sz="8" w:color="auto"/>
              <w:right w:val="single" w:sz="8" w:color="auto"/>
            </w:tcBorders>
            <w:shd w:val="clear" w:color="auto" w:fill="C6D9F1"/>
          </w:tcPr>
          <w:p>
            <w:pPr>
              <w:spacing w:after="0"/>
              <w:rPr>
                <w:sz w:val="6"/>
                <w:szCs w:val="6"/>
                <w:color w:val="auto"/>
              </w:rPr>
            </w:pPr>
          </w:p>
        </w:tc>
        <w:tc>
          <w:tcPr>
            <w:tcW w:w="1340" w:type="dxa"/>
            <w:vAlign w:val="bottom"/>
            <w:tcBorders>
              <w:bottom w:val="single" w:sz="8" w:color="auto"/>
              <w:right w:val="single" w:sz="8" w:color="auto"/>
            </w:tcBorders>
            <w:shd w:val="clear" w:color="auto" w:fill="C6D9F1"/>
          </w:tcPr>
          <w:p>
            <w:pPr>
              <w:spacing w:after="0"/>
              <w:rPr>
                <w:sz w:val="6"/>
                <w:szCs w:val="6"/>
                <w:color w:val="auto"/>
              </w:rPr>
            </w:pPr>
          </w:p>
        </w:tc>
        <w:tc>
          <w:tcPr>
            <w:tcW w:w="2820" w:type="dxa"/>
            <w:vAlign w:val="bottom"/>
            <w:tcBorders>
              <w:bottom w:val="single" w:sz="8" w:color="auto"/>
              <w:right w:val="single" w:sz="8" w:color="auto"/>
            </w:tcBorders>
            <w:shd w:val="clear" w:color="auto" w:fill="C6D9F1"/>
          </w:tcPr>
          <w:p>
            <w:pPr>
              <w:spacing w:after="0"/>
              <w:rPr>
                <w:sz w:val="6"/>
                <w:szCs w:val="6"/>
                <w:color w:val="auto"/>
              </w:rPr>
            </w:pPr>
          </w:p>
        </w:tc>
        <w:tc>
          <w:tcPr>
            <w:tcW w:w="2380" w:type="dxa"/>
            <w:vAlign w:val="bottom"/>
            <w:tcBorders>
              <w:bottom w:val="single" w:sz="8" w:color="auto"/>
              <w:right w:val="single" w:sz="8" w:color="auto"/>
            </w:tcBorders>
            <w:shd w:val="clear" w:color="auto" w:fill="C6D9F1"/>
          </w:tcPr>
          <w:p>
            <w:pPr>
              <w:spacing w:after="0"/>
              <w:rPr>
                <w:sz w:val="6"/>
                <w:szCs w:val="6"/>
                <w:color w:val="auto"/>
              </w:rPr>
            </w:pPr>
          </w:p>
        </w:tc>
        <w:tc>
          <w:tcPr>
            <w:tcW w:w="1180" w:type="dxa"/>
            <w:vAlign w:val="bottom"/>
            <w:tcBorders>
              <w:bottom w:val="single" w:sz="8" w:color="auto"/>
              <w:right w:val="single" w:sz="8" w:color="auto"/>
            </w:tcBorders>
            <w:shd w:val="clear" w:color="auto" w:fill="C6D9F1"/>
          </w:tcPr>
          <w:p>
            <w:pPr>
              <w:spacing w:after="0"/>
              <w:rPr>
                <w:sz w:val="6"/>
                <w:szCs w:val="6"/>
                <w:color w:val="auto"/>
              </w:rPr>
            </w:pPr>
          </w:p>
        </w:tc>
        <w:tc>
          <w:tcPr>
            <w:tcW w:w="1560" w:type="dxa"/>
            <w:vAlign w:val="bottom"/>
            <w:tcBorders>
              <w:bottom w:val="single" w:sz="8" w:color="auto"/>
              <w:right w:val="single" w:sz="8" w:color="auto"/>
            </w:tcBorders>
            <w:shd w:val="clear" w:color="auto" w:fill="C6D9F1"/>
          </w:tcPr>
          <w:p>
            <w:pPr>
              <w:spacing w:after="0"/>
              <w:rPr>
                <w:sz w:val="6"/>
                <w:szCs w:val="6"/>
                <w:color w:val="auto"/>
              </w:rPr>
            </w:pPr>
          </w:p>
        </w:tc>
        <w:tc>
          <w:tcPr>
            <w:tcW w:w="1560" w:type="dxa"/>
            <w:vAlign w:val="bottom"/>
            <w:tcBorders>
              <w:bottom w:val="single" w:sz="8" w:color="auto"/>
              <w:right w:val="single" w:sz="8" w:color="auto"/>
            </w:tcBorders>
            <w:vMerge w:val="continue"/>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67</w:t>
            </w:r>
          </w:p>
        </w:tc>
        <w:tc>
          <w:tcPr>
            <w:tcW w:w="134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5"/>
              </w:rPr>
              <w:t>IPS Monitoring and certification. Monitoring of</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Compliance</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IMA guidelines and reporting. Assist in</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Restricted List maintenance.</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68</w:t>
            </w: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Credit</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88"/>
              </w:rPr>
              <w:t>Provide support for FAS91 process for structured</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assets.</w:t>
            </w: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69</w:t>
            </w: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1"/>
              </w:rPr>
              <w:t>Portfolio Management</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Provide quantitative services for Strategic</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Allocation and Portfolio Optimization.</w:t>
            </w: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70</w:t>
            </w: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Trading</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Execution of FX Hedging program trades.</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5"/>
              </w:rPr>
              <w:t>Provide assistance for new programs for IPR.</w:t>
            </w: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71</w:t>
            </w: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Risk</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5"/>
              </w:rPr>
              <w:t>Provide exposure limits monitoring and stress</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testing of the Company portfolios.</w:t>
            </w: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72</w:t>
            </w:r>
          </w:p>
        </w:tc>
        <w:tc>
          <w:tcPr>
            <w:tcW w:w="134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4"/>
              </w:rPr>
              <w:t>Process FX Hedging trades in derivative trade</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Middle Office</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5"/>
              </w:rPr>
              <w:t>system. Pricing of hedge program. Delivery of</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76, 77</w:t>
            </w: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various reports.</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73</w:t>
            </w: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Trade Operations</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7"/>
              </w:rPr>
              <w:t>Process external trades in trading system for</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76, 77</w:t>
            </w: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downstream reporting.</w:t>
            </w: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74</w:t>
            </w:r>
          </w:p>
        </w:tc>
        <w:tc>
          <w:tcPr>
            <w:tcW w:w="134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Provide various reports from reporting</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Reporting</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3"/>
              </w:rPr>
              <w:t>universes. Supply analytical &amp; descriptive data</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76, 77</w:t>
            </w: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from trade system to reporting universes.</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8"/>
              </w:rPr>
              <w:t>Pricing of assets on a daily &amp; monthly basis.</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75</w:t>
            </w: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Data Governance</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4"/>
              </w:rPr>
              <w:t>Daily maintenance of Fixed Income bond data</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4"/>
              </w:rPr>
              <w:t>and analytics in Trade system for downstream</w:t>
            </w:r>
          </w:p>
        </w:tc>
        <w:tc>
          <w:tcPr>
            <w:tcW w:w="23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6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vMerge w:val="continue"/>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consumption.</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00"/>
          </w:cols>
          <w:pgMar w:left="300" w:top="1101" w:right="299" w:bottom="1440" w:gutter="0" w:footer="0" w:header="0"/>
        </w:sectPr>
      </w:pPr>
    </w:p>
    <w:bookmarkStart w:id="253" w:name="page254"/>
    <w:bookmarkEnd w:id="253"/>
    <w:tbl>
      <w:tblPr>
        <w:tblLayout w:type="fixed"/>
        <w:tblInd w:w="10" w:type="dxa"/>
        <w:tblCellMar>
          <w:top w:w="0" w:type="dxa"/>
          <w:left w:w="0" w:type="dxa"/>
          <w:bottom w:w="0" w:type="dxa"/>
          <w:right w:w="0" w:type="dxa"/>
        </w:tblCellMar>
      </w:tblPr>
      <w:tr>
        <w:trPr>
          <w:trHeight w:val="184"/>
        </w:trPr>
        <w:tc>
          <w:tcPr>
            <w:tcW w:w="460" w:type="dxa"/>
            <w:vAlign w:val="bottom"/>
            <w:tcBorders>
              <w:top w:val="single" w:sz="8" w:color="auto"/>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76</w:t>
            </w:r>
          </w:p>
        </w:tc>
        <w:tc>
          <w:tcPr>
            <w:tcW w:w="1340" w:type="dxa"/>
            <w:vAlign w:val="bottom"/>
            <w:tcBorders>
              <w:top w:val="single" w:sz="8" w:color="auto"/>
              <w:right w:val="single" w:sz="8" w:color="auto"/>
            </w:tcBorders>
          </w:tcPr>
          <w:p>
            <w:pPr>
              <w:spacing w:after="0"/>
              <w:rPr>
                <w:sz w:val="16"/>
                <w:szCs w:val="16"/>
                <w:color w:val="auto"/>
              </w:rPr>
            </w:pPr>
          </w:p>
        </w:tc>
        <w:tc>
          <w:tcPr>
            <w:tcW w:w="2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3"/>
              </w:rPr>
              <w:t>Provide Fixed Income accounting services: GL</w:t>
            </w:r>
          </w:p>
        </w:tc>
        <w:tc>
          <w:tcPr>
            <w:tcW w:w="238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Accounting – FI</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8"/>
              </w:rPr>
              <w:t>entries, schedules and financial reports from</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accounting system.</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77</w:t>
            </w:r>
          </w:p>
        </w:tc>
        <w:tc>
          <w:tcPr>
            <w:tcW w:w="134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Provide accounting services: GL entries,</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Accounting – Deriv.</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4"/>
              </w:rPr>
              <w:t>schedules/financials and financial reports from</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Derivative accounting system.</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78</w:t>
            </w:r>
          </w:p>
        </w:tc>
        <w:tc>
          <w:tcPr>
            <w:tcW w:w="134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9"/>
              </w:rPr>
              <w:t>Provide access to various software systems</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1"/>
              </w:rPr>
              <w:t>Calculated in accordance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vMerge w:val="continue"/>
          </w:tcPr>
          <w:p>
            <w:pPr>
              <w:spacing w:after="0"/>
              <w:rPr>
                <w:sz w:val="14"/>
                <w:szCs w:val="14"/>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Systems</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within Investment framework. Execution of</w:t>
            </w:r>
          </w:p>
        </w:tc>
        <w:tc>
          <w:tcPr>
            <w:tcW w:w="23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Direct Bill</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with historical practice</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4"/>
              </w:rPr>
              <w:t>controls for system connectivity and job loads.</w:t>
            </w:r>
          </w:p>
        </w:tc>
        <w:tc>
          <w:tcPr>
            <w:tcW w:w="2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00"/>
          </w:cols>
          <w:pgMar w:left="300" w:top="1125" w:right="299" w:bottom="1440" w:gutter="0" w:footer="0" w:header="0"/>
        </w:sectPr>
      </w:pPr>
    </w:p>
    <w:bookmarkStart w:id="254" w:name="page255"/>
    <w:bookmarkEnd w:id="254"/>
    <w:p>
      <w:pPr>
        <w:jc w:val="center"/>
        <w:ind w:right="20"/>
        <w:spacing w:after="0"/>
        <w:rPr>
          <w:sz w:val="20"/>
          <w:szCs w:val="20"/>
          <w:color w:val="auto"/>
        </w:rPr>
      </w:pPr>
      <w:r>
        <w:rPr>
          <w:rFonts w:ascii="Arial" w:cs="Arial" w:eastAsia="Arial" w:hAnsi="Arial"/>
          <w:sz w:val="16"/>
          <w:szCs w:val="16"/>
          <w:b w:val="1"/>
          <w:bCs w:val="1"/>
          <w:u w:val="single" w:color="auto"/>
          <w:color w:val="auto"/>
        </w:rPr>
        <w:t>SCHEDULE B</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COMPANY SERVICES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6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right w:val="single" w:sz="8" w:color="auto"/>
            </w:tcBorders>
            <w:vMerge w:val="restart"/>
            <w:shd w:val="clear" w:color="auto" w:fill="C6D9F1"/>
          </w:tcPr>
          <w:p>
            <w:pPr>
              <w:ind w:left="300"/>
              <w:spacing w:after="0"/>
              <w:rPr>
                <w:sz w:val="20"/>
                <w:szCs w:val="20"/>
                <w:color w:val="auto"/>
              </w:rPr>
            </w:pPr>
            <w:r>
              <w:rPr>
                <w:rFonts w:ascii="Arial" w:cs="Arial" w:eastAsia="Arial" w:hAnsi="Arial"/>
                <w:sz w:val="14"/>
                <w:szCs w:val="14"/>
                <w:b w:val="1"/>
                <w:bCs w:val="1"/>
                <w:color w:val="auto"/>
              </w:rPr>
              <w:t>Service Category</w:t>
            </w:r>
          </w:p>
        </w:tc>
        <w:tc>
          <w:tcPr>
            <w:tcW w:w="2600" w:type="dxa"/>
            <w:vAlign w:val="bottom"/>
            <w:tcBorders>
              <w:top w:val="single" w:sz="8" w:color="auto"/>
              <w:right w:val="single" w:sz="8" w:color="auto"/>
            </w:tcBorders>
            <w:vMerge w:val="restart"/>
            <w:shd w:val="clear" w:color="auto" w:fill="C6D9F1"/>
          </w:tcPr>
          <w:p>
            <w:pPr>
              <w:ind w:left="620"/>
              <w:spacing w:after="0"/>
              <w:rPr>
                <w:sz w:val="20"/>
                <w:szCs w:val="20"/>
                <w:color w:val="auto"/>
              </w:rPr>
            </w:pPr>
            <w:r>
              <w:rPr>
                <w:rFonts w:ascii="Arial" w:cs="Arial" w:eastAsia="Arial" w:hAnsi="Arial"/>
                <w:sz w:val="14"/>
                <w:szCs w:val="14"/>
                <w:b w:val="1"/>
                <w:bCs w:val="1"/>
                <w:color w:val="auto"/>
              </w:rPr>
              <w:t>Description of Services</w:t>
            </w:r>
          </w:p>
        </w:tc>
        <w:tc>
          <w:tcPr>
            <w:tcW w:w="2200" w:type="dxa"/>
            <w:vAlign w:val="bottom"/>
            <w:tcBorders>
              <w:top w:val="single" w:sz="8" w:color="auto"/>
              <w:right w:val="single" w:sz="8" w:color="auto"/>
            </w:tcBorders>
            <w:vMerge w:val="restart"/>
            <w:shd w:val="clear" w:color="auto" w:fill="C6D9F1"/>
          </w:tcPr>
          <w:p>
            <w:pPr>
              <w:ind w:left="400"/>
              <w:spacing w:after="0"/>
              <w:rPr>
                <w:sz w:val="20"/>
                <w:szCs w:val="20"/>
                <w:color w:val="auto"/>
              </w:rPr>
            </w:pPr>
            <w:r>
              <w:rPr>
                <w:rFonts w:ascii="Arial" w:cs="Arial" w:eastAsia="Arial" w:hAnsi="Arial"/>
                <w:sz w:val="14"/>
                <w:szCs w:val="14"/>
                <w:b w:val="1"/>
                <w:bCs w:val="1"/>
                <w:color w:val="auto"/>
              </w:rPr>
              <w:t>Additional Information</w:t>
            </w:r>
          </w:p>
        </w:tc>
        <w:tc>
          <w:tcPr>
            <w:tcW w:w="1140" w:type="dxa"/>
            <w:vAlign w:val="bottom"/>
            <w:tcBorders>
              <w:top w:val="single" w:sz="8" w:color="auto"/>
              <w:right w:val="single" w:sz="8" w:color="auto"/>
            </w:tcBorders>
            <w:vMerge w:val="restart"/>
            <w:shd w:val="clear" w:color="auto" w:fill="C6D9F1"/>
          </w:tcPr>
          <w:p>
            <w:pPr>
              <w:ind w:left="160"/>
              <w:spacing w:after="0"/>
              <w:rPr>
                <w:sz w:val="20"/>
                <w:szCs w:val="20"/>
                <w:color w:val="auto"/>
              </w:rPr>
            </w:pPr>
            <w:r>
              <w:rPr>
                <w:rFonts w:ascii="Arial" w:cs="Arial" w:eastAsia="Arial" w:hAnsi="Arial"/>
                <w:sz w:val="14"/>
                <w:szCs w:val="14"/>
                <w:b w:val="1"/>
                <w:bCs w:val="1"/>
                <w:color w:val="auto"/>
                <w:w w:val="99"/>
              </w:rPr>
              <w:t>Expense Type</w:t>
            </w:r>
          </w:p>
        </w:tc>
        <w:tc>
          <w:tcPr>
            <w:tcW w:w="1540" w:type="dxa"/>
            <w:vAlign w:val="bottom"/>
            <w:tcBorders>
              <w:top w:val="single" w:sz="8" w:color="auto"/>
              <w:right w:val="single" w:sz="8" w:color="auto"/>
            </w:tcBorders>
            <w:vMerge w:val="restart"/>
            <w:shd w:val="clear" w:color="auto" w:fill="C6D9F1"/>
          </w:tcPr>
          <w:p>
            <w:pPr>
              <w:ind w:left="60"/>
              <w:spacing w:after="0"/>
              <w:rPr>
                <w:sz w:val="20"/>
                <w:szCs w:val="20"/>
                <w:color w:val="auto"/>
              </w:rPr>
            </w:pPr>
            <w:r>
              <w:rPr>
                <w:rFonts w:ascii="Arial" w:cs="Arial" w:eastAsia="Arial" w:hAnsi="Arial"/>
                <w:sz w:val="14"/>
                <w:szCs w:val="14"/>
                <w:b w:val="1"/>
                <w:bCs w:val="1"/>
                <w:color w:val="auto"/>
              </w:rPr>
              <w:t>Service Fee</w:t>
            </w:r>
          </w:p>
        </w:tc>
        <w:tc>
          <w:tcPr>
            <w:tcW w:w="1700" w:type="dxa"/>
            <w:vAlign w:val="bottom"/>
            <w:tcBorders>
              <w:top w:val="single" w:sz="8" w:color="auto"/>
              <w:right w:val="single" w:sz="8" w:color="auto"/>
            </w:tcBorders>
            <w:shd w:val="clear" w:color="auto" w:fill="C6D9F1"/>
          </w:tcPr>
          <w:p>
            <w:pPr>
              <w:ind w:left="40"/>
              <w:spacing w:after="0" w:line="144"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102"/>
        </w:trPr>
        <w:tc>
          <w:tcPr>
            <w:tcW w:w="460" w:type="dxa"/>
            <w:vAlign w:val="bottom"/>
            <w:tcBorders>
              <w:left w:val="single" w:sz="8" w:color="auto"/>
              <w:right w:val="single" w:sz="8" w:color="auto"/>
            </w:tcBorders>
            <w:vMerge w:val="continue"/>
            <w:shd w:val="clear" w:color="auto" w:fill="C6D9F1"/>
          </w:tcPr>
          <w:p>
            <w:pPr>
              <w:spacing w:after="0"/>
              <w:rPr>
                <w:sz w:val="8"/>
                <w:szCs w:val="8"/>
                <w:color w:val="auto"/>
              </w:rPr>
            </w:pPr>
          </w:p>
        </w:tc>
        <w:tc>
          <w:tcPr>
            <w:tcW w:w="1660" w:type="dxa"/>
            <w:vAlign w:val="bottom"/>
            <w:tcBorders>
              <w:right w:val="single" w:sz="8" w:color="auto"/>
            </w:tcBorders>
            <w:vMerge w:val="continue"/>
            <w:shd w:val="clear" w:color="auto" w:fill="C6D9F1"/>
          </w:tcPr>
          <w:p>
            <w:pPr>
              <w:spacing w:after="0"/>
              <w:rPr>
                <w:sz w:val="8"/>
                <w:szCs w:val="8"/>
                <w:color w:val="auto"/>
              </w:rPr>
            </w:pPr>
          </w:p>
        </w:tc>
        <w:tc>
          <w:tcPr>
            <w:tcW w:w="2600" w:type="dxa"/>
            <w:vAlign w:val="bottom"/>
            <w:tcBorders>
              <w:right w:val="single" w:sz="8" w:color="auto"/>
            </w:tcBorders>
            <w:vMerge w:val="continue"/>
            <w:shd w:val="clear" w:color="auto" w:fill="C6D9F1"/>
          </w:tcPr>
          <w:p>
            <w:pPr>
              <w:spacing w:after="0"/>
              <w:rPr>
                <w:sz w:val="8"/>
                <w:szCs w:val="8"/>
                <w:color w:val="auto"/>
              </w:rPr>
            </w:pPr>
          </w:p>
        </w:tc>
        <w:tc>
          <w:tcPr>
            <w:tcW w:w="2200" w:type="dxa"/>
            <w:vAlign w:val="bottom"/>
            <w:tcBorders>
              <w:right w:val="single" w:sz="8" w:color="auto"/>
            </w:tcBorders>
            <w:vMerge w:val="continue"/>
            <w:shd w:val="clear" w:color="auto" w:fill="C6D9F1"/>
          </w:tcPr>
          <w:p>
            <w:pPr>
              <w:spacing w:after="0"/>
              <w:rPr>
                <w:sz w:val="8"/>
                <w:szCs w:val="8"/>
                <w:color w:val="auto"/>
              </w:rPr>
            </w:pPr>
          </w:p>
        </w:tc>
        <w:tc>
          <w:tcPr>
            <w:tcW w:w="1140" w:type="dxa"/>
            <w:vAlign w:val="bottom"/>
            <w:tcBorders>
              <w:right w:val="single" w:sz="8" w:color="auto"/>
            </w:tcBorders>
            <w:vMerge w:val="continue"/>
            <w:shd w:val="clear" w:color="auto" w:fill="C6D9F1"/>
          </w:tcPr>
          <w:p>
            <w:pPr>
              <w:spacing w:after="0"/>
              <w:rPr>
                <w:sz w:val="8"/>
                <w:szCs w:val="8"/>
                <w:color w:val="auto"/>
              </w:rPr>
            </w:pPr>
          </w:p>
        </w:tc>
        <w:tc>
          <w:tcPr>
            <w:tcW w:w="1540" w:type="dxa"/>
            <w:vAlign w:val="bottom"/>
            <w:tcBorders>
              <w:right w:val="single" w:sz="8" w:color="auto"/>
            </w:tcBorders>
            <w:vMerge w:val="continue"/>
            <w:shd w:val="clear" w:color="auto" w:fill="C6D9F1"/>
          </w:tcPr>
          <w:p>
            <w:pPr>
              <w:spacing w:after="0"/>
              <w:rPr>
                <w:sz w:val="8"/>
                <w:szCs w:val="8"/>
                <w:color w:val="auto"/>
              </w:rPr>
            </w:pPr>
          </w:p>
        </w:tc>
        <w:tc>
          <w:tcPr>
            <w:tcW w:w="1700" w:type="dxa"/>
            <w:vAlign w:val="bottom"/>
            <w:tcBorders>
              <w:right w:val="single" w:sz="8" w:color="auto"/>
            </w:tcBorders>
            <w:vMerge w:val="restart"/>
            <w:shd w:val="clear" w:color="auto" w:fill="C6D9F1"/>
          </w:tcPr>
          <w:p>
            <w:pPr>
              <w:ind w:left="4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460" w:type="dxa"/>
            <w:vAlign w:val="bottom"/>
            <w:tcBorders>
              <w:left w:val="single" w:sz="8" w:color="auto"/>
              <w:bottom w:val="single" w:sz="8" w:color="auto"/>
              <w:right w:val="single" w:sz="8" w:color="auto"/>
            </w:tcBorders>
            <w:shd w:val="clear" w:color="auto" w:fill="C6D9F1"/>
          </w:tcPr>
          <w:p>
            <w:pPr>
              <w:spacing w:after="0"/>
              <w:rPr>
                <w:sz w:val="6"/>
                <w:szCs w:val="6"/>
                <w:color w:val="auto"/>
              </w:rPr>
            </w:pPr>
          </w:p>
        </w:tc>
        <w:tc>
          <w:tcPr>
            <w:tcW w:w="1660" w:type="dxa"/>
            <w:vAlign w:val="bottom"/>
            <w:tcBorders>
              <w:bottom w:val="single" w:sz="8" w:color="auto"/>
              <w:right w:val="single" w:sz="8" w:color="auto"/>
            </w:tcBorders>
            <w:shd w:val="clear" w:color="auto" w:fill="C6D9F1"/>
          </w:tcPr>
          <w:p>
            <w:pPr>
              <w:spacing w:after="0"/>
              <w:rPr>
                <w:sz w:val="6"/>
                <w:szCs w:val="6"/>
                <w:color w:val="auto"/>
              </w:rPr>
            </w:pPr>
          </w:p>
        </w:tc>
        <w:tc>
          <w:tcPr>
            <w:tcW w:w="2600" w:type="dxa"/>
            <w:vAlign w:val="bottom"/>
            <w:tcBorders>
              <w:bottom w:val="single" w:sz="8" w:color="auto"/>
              <w:right w:val="single" w:sz="8" w:color="auto"/>
            </w:tcBorders>
            <w:shd w:val="clear" w:color="auto" w:fill="C6D9F1"/>
          </w:tcPr>
          <w:p>
            <w:pPr>
              <w:spacing w:after="0"/>
              <w:rPr>
                <w:sz w:val="6"/>
                <w:szCs w:val="6"/>
                <w:color w:val="auto"/>
              </w:rPr>
            </w:pPr>
          </w:p>
        </w:tc>
        <w:tc>
          <w:tcPr>
            <w:tcW w:w="2200" w:type="dxa"/>
            <w:vAlign w:val="bottom"/>
            <w:tcBorders>
              <w:bottom w:val="single" w:sz="8" w:color="auto"/>
              <w:right w:val="single" w:sz="8" w:color="auto"/>
            </w:tcBorders>
            <w:shd w:val="clear" w:color="auto" w:fill="C6D9F1"/>
          </w:tcPr>
          <w:p>
            <w:pPr>
              <w:spacing w:after="0"/>
              <w:rPr>
                <w:sz w:val="6"/>
                <w:szCs w:val="6"/>
                <w:color w:val="auto"/>
              </w:rPr>
            </w:pPr>
          </w:p>
        </w:tc>
        <w:tc>
          <w:tcPr>
            <w:tcW w:w="1140" w:type="dxa"/>
            <w:vAlign w:val="bottom"/>
            <w:tcBorders>
              <w:bottom w:val="single" w:sz="8" w:color="auto"/>
              <w:right w:val="single" w:sz="8" w:color="auto"/>
            </w:tcBorders>
            <w:shd w:val="clear" w:color="auto" w:fill="C6D9F1"/>
          </w:tcPr>
          <w:p>
            <w:pPr>
              <w:spacing w:after="0"/>
              <w:rPr>
                <w:sz w:val="6"/>
                <w:szCs w:val="6"/>
                <w:color w:val="auto"/>
              </w:rPr>
            </w:pPr>
          </w:p>
        </w:tc>
        <w:tc>
          <w:tcPr>
            <w:tcW w:w="1540" w:type="dxa"/>
            <w:vAlign w:val="bottom"/>
            <w:tcBorders>
              <w:bottom w:val="single" w:sz="8" w:color="auto"/>
              <w:right w:val="single" w:sz="8" w:color="auto"/>
            </w:tcBorders>
            <w:shd w:val="clear" w:color="auto" w:fill="C6D9F1"/>
          </w:tcPr>
          <w:p>
            <w:pPr>
              <w:spacing w:after="0"/>
              <w:rPr>
                <w:sz w:val="6"/>
                <w:szCs w:val="6"/>
                <w:color w:val="auto"/>
              </w:rPr>
            </w:pPr>
          </w:p>
        </w:tc>
        <w:tc>
          <w:tcPr>
            <w:tcW w:w="1700" w:type="dxa"/>
            <w:vAlign w:val="bottom"/>
            <w:tcBorders>
              <w:bottom w:val="single" w:sz="8" w:color="auto"/>
              <w:right w:val="single" w:sz="8" w:color="auto"/>
            </w:tcBorders>
            <w:vMerge w:val="continue"/>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0"/>
              </w:rPr>
              <w:t>Provide physical and logical administration of</w:t>
            </w:r>
          </w:p>
        </w:tc>
        <w:tc>
          <w:tcPr>
            <w:tcW w:w="22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Database support –</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1"/>
              </w:rPr>
              <w:t>Mexico’s application databases. Includes the</w:t>
            </w:r>
          </w:p>
        </w:tc>
        <w:tc>
          <w:tcPr>
            <w:tcW w:w="22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creation, deletion, backup, physical</w:t>
            </w:r>
          </w:p>
        </w:tc>
        <w:tc>
          <w:tcPr>
            <w:tcW w:w="22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6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Mexico</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placement, and performance tuning of</w:t>
            </w:r>
          </w:p>
        </w:tc>
        <w:tc>
          <w:tcPr>
            <w:tcW w:w="22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60" w:type="dxa"/>
            <w:vAlign w:val="bottom"/>
            <w:tcBorders>
              <w:left w:val="single" w:sz="8" w:color="auto"/>
              <w:right w:val="single" w:sz="8" w:color="auto"/>
            </w:tcBorders>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2600" w:type="dxa"/>
            <w:vAlign w:val="bottom"/>
            <w:tcBorders>
              <w:right w:val="single" w:sz="8" w:color="auto"/>
            </w:tcBorders>
            <w:vMerge w:val="continue"/>
          </w:tcPr>
          <w:p>
            <w:pPr>
              <w:spacing w:after="0"/>
              <w:rPr>
                <w:sz w:val="6"/>
                <w:szCs w:val="6"/>
                <w:color w:val="auto"/>
              </w:rPr>
            </w:pPr>
          </w:p>
        </w:tc>
        <w:tc>
          <w:tcPr>
            <w:tcW w:w="220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application databases. Includes server</w:t>
            </w:r>
          </w:p>
        </w:tc>
        <w:tc>
          <w:tcPr>
            <w:tcW w:w="22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hardware and Oracle licensing.</w:t>
            </w:r>
          </w:p>
        </w:tc>
        <w:tc>
          <w:tcPr>
            <w:tcW w:w="22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6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GF will provide these services to</w:t>
            </w:r>
          </w:p>
        </w:tc>
        <w:tc>
          <w:tcPr>
            <w:tcW w:w="11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w w:val="94"/>
              </w:rPr>
              <w:t>Company until an agreed date when</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w w:val="95"/>
              </w:rPr>
              <w:t>Company will assume responsibility</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w w:val="95"/>
              </w:rPr>
              <w:t>for these services and provide them</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rPr>
              <w:t>back to GF</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1"/>
              </w:rPr>
              <w:t>Directory and identity management services.</w:t>
            </w: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and to AUS MI.</w:t>
            </w:r>
          </w:p>
        </w:tc>
        <w:tc>
          <w:tcPr>
            <w:tcW w:w="11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Fee basis to be agreed</w:t>
            </w: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w w:val="94"/>
              </w:rPr>
              <w:t>Associate collaboration and communication</w:t>
            </w:r>
          </w:p>
        </w:tc>
        <w:tc>
          <w:tcPr>
            <w:tcW w:w="22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6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89"/>
              </w:rPr>
              <w:t>20</w:t>
            </w:r>
          </w:p>
        </w:tc>
        <w:tc>
          <w:tcPr>
            <w:tcW w:w="1660" w:type="dxa"/>
            <w:vAlign w:val="bottom"/>
            <w:tcBorders>
              <w:right w:val="single" w:sz="8" w:color="auto"/>
            </w:tcBorders>
          </w:tcPr>
          <w:p>
            <w:pPr>
              <w:ind w:left="40"/>
              <w:spacing w:after="0" w:line="154" w:lineRule="exact"/>
              <w:rPr>
                <w:sz w:val="20"/>
                <w:szCs w:val="20"/>
                <w:color w:val="auto"/>
              </w:rPr>
            </w:pPr>
            <w:r>
              <w:rPr>
                <w:rFonts w:ascii="Arial" w:cs="Arial" w:eastAsia="Arial" w:hAnsi="Arial"/>
                <w:sz w:val="14"/>
                <w:szCs w:val="14"/>
                <w:b w:val="1"/>
                <w:bCs w:val="1"/>
                <w:color w:val="auto"/>
                <w:w w:val="90"/>
              </w:rPr>
              <w:t>Office365/Active Directory</w:t>
            </w:r>
          </w:p>
        </w:tc>
        <w:tc>
          <w:tcPr>
            <w:tcW w:w="260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4"/>
                <w:szCs w:val="14"/>
                <w:color w:val="auto"/>
                <w:w w:val="90"/>
              </w:rPr>
              <w:t>tools which include email, instant messaging,</w:t>
            </w:r>
          </w:p>
        </w:tc>
        <w:tc>
          <w:tcPr>
            <w:tcW w:w="22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4"/>
                <w:szCs w:val="14"/>
                <w:color w:val="auto"/>
              </w:rPr>
              <w:t>Direct Bill</w:t>
            </w:r>
          </w:p>
        </w:tc>
        <w:tc>
          <w:tcPr>
            <w:tcW w:w="154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4"/>
                <w:szCs w:val="14"/>
                <w:color w:val="auto"/>
              </w:rPr>
              <w:t>upon by GF and</w:t>
            </w:r>
          </w:p>
        </w:tc>
        <w:tc>
          <w:tcPr>
            <w:tcW w:w="1700" w:type="dxa"/>
            <w:vAlign w:val="bottom"/>
            <w:tcBorders>
              <w:right w:val="single" w:sz="8" w:color="auto"/>
            </w:tcBorders>
          </w:tcPr>
          <w:p>
            <w:pPr>
              <w:ind w:left="40"/>
              <w:spacing w:after="0" w:line="154"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video conferencing services.</w:t>
            </w:r>
          </w:p>
        </w:tc>
        <w:tc>
          <w:tcPr>
            <w:tcW w:w="22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Company.</w:t>
            </w: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tcPr>
          <w:p>
            <w:pPr>
              <w:spacing w:after="0"/>
              <w:rPr>
                <w:sz w:val="3"/>
                <w:szCs w:val="3"/>
                <w:color w:val="auto"/>
              </w:rPr>
            </w:pPr>
          </w:p>
        </w:tc>
        <w:tc>
          <w:tcPr>
            <w:tcW w:w="2200" w:type="dxa"/>
            <w:vAlign w:val="bottom"/>
            <w:tcBorders>
              <w:right w:val="single" w:sz="8" w:color="auto"/>
            </w:tcBorders>
            <w:vMerge w:val="restart"/>
          </w:tcPr>
          <w:p>
            <w:pPr>
              <w:ind w:left="100"/>
              <w:spacing w:after="0" w:line="144" w:lineRule="exact"/>
              <w:rPr>
                <w:sz w:val="20"/>
                <w:szCs w:val="20"/>
                <w:color w:val="auto"/>
              </w:rPr>
            </w:pPr>
            <w:r>
              <w:rPr>
                <w:rFonts w:ascii="Arial" w:cs="Arial" w:eastAsia="Arial" w:hAnsi="Arial"/>
                <w:sz w:val="14"/>
                <w:szCs w:val="14"/>
                <w:color w:val="auto"/>
              </w:rPr>
              <w:t>Microsoft Office 365</w:t>
            </w:r>
          </w:p>
        </w:tc>
        <w:tc>
          <w:tcPr>
            <w:tcW w:w="114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46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Proofpoint</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support</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Microsoft Identity Manager</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Mimecast</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Paperclip</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Randstand</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Cofense</w:t>
            </w:r>
          </w:p>
        </w:tc>
        <w:tc>
          <w:tcPr>
            <w:tcW w:w="11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6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GF will provide these services to</w:t>
            </w:r>
          </w:p>
        </w:tc>
        <w:tc>
          <w:tcPr>
            <w:tcW w:w="11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0"/>
              </w:rPr>
              <w:t>Company will provide technical assistance to</w:t>
            </w: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1"/>
              </w:rPr>
              <w:t>Company until an agreed date when</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w w:val="93"/>
              </w:rPr>
              <w:t>Company will assume responsibility</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w w:val="98"/>
              </w:rPr>
              <w:t>GF outsourcing vendor as needed for the</w:t>
            </w: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for these services. Company will</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rPr>
              <w:t>following services:</w:t>
            </w: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provide full infrastructure shared</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Infrastructure shared</w:t>
            </w:r>
          </w:p>
        </w:tc>
        <w:tc>
          <w:tcPr>
            <w:tcW w:w="260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6"/>
              </w:rPr>
              <w:t>services back to AUS MI only (and</w:t>
            </w:r>
          </w:p>
        </w:tc>
        <w:tc>
          <w:tcPr>
            <w:tcW w:w="11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Fee basis to be agreed</w:t>
            </w: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25</w:t>
            </w:r>
          </w:p>
        </w:tc>
        <w:tc>
          <w:tcPr>
            <w:tcW w:w="166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1"/>
              </w:rPr>
              <w:t>Provide the application infrastructure for the</w:t>
            </w:r>
          </w:p>
        </w:tc>
        <w:tc>
          <w:tcPr>
            <w:tcW w:w="2200" w:type="dxa"/>
            <w:vAlign w:val="bottom"/>
            <w:tcBorders>
              <w:right w:val="single" w:sz="8" w:color="auto"/>
            </w:tcBorders>
          </w:tcPr>
          <w:p>
            <w:pPr>
              <w:ind w:left="100"/>
              <w:spacing w:after="0" w:line="102" w:lineRule="exact"/>
              <w:rPr>
                <w:sz w:val="20"/>
                <w:szCs w:val="20"/>
                <w:color w:val="auto"/>
              </w:rPr>
            </w:pPr>
            <w:r>
              <w:rPr>
                <w:rFonts w:ascii="Arial" w:cs="Arial" w:eastAsia="Arial" w:hAnsi="Arial"/>
                <w:sz w:val="11"/>
                <w:szCs w:val="11"/>
                <w:color w:val="auto"/>
              </w:rPr>
              <w:t>not to GF).</w:t>
            </w:r>
          </w:p>
        </w:tc>
        <w:tc>
          <w:tcPr>
            <w:tcW w:w="11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upon by GF and</w:t>
            </w: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460" w:type="dxa"/>
            <w:vAlign w:val="bottom"/>
            <w:tcBorders>
              <w:left w:val="single" w:sz="8" w:color="auto"/>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services</w:t>
            </w:r>
          </w:p>
        </w:tc>
        <w:tc>
          <w:tcPr>
            <w:tcW w:w="2600" w:type="dxa"/>
            <w:vAlign w:val="bottom"/>
            <w:tcBorders>
              <w:right w:val="single" w:sz="8" w:color="auto"/>
            </w:tcBorders>
            <w:vMerge w:val="continue"/>
          </w:tcPr>
          <w:p>
            <w:pPr>
              <w:spacing w:after="0"/>
              <w:rPr>
                <w:sz w:val="5"/>
                <w:szCs w:val="5"/>
                <w:color w:val="auto"/>
              </w:rPr>
            </w:pPr>
          </w:p>
        </w:tc>
        <w:tc>
          <w:tcPr>
            <w:tcW w:w="2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continue"/>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4"/>
                <w:szCs w:val="14"/>
                <w:color w:val="auto"/>
              </w:rPr>
              <w:t>Company applications, including</w:t>
            </w:r>
          </w:p>
        </w:tc>
        <w:tc>
          <w:tcPr>
            <w:tcW w:w="220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4"/>
                <w:szCs w:val="14"/>
                <w:color w:val="auto"/>
              </w:rPr>
              <w:t>Company.</w:t>
            </w: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ind w:left="80"/>
              <w:spacing w:after="0" w:line="122" w:lineRule="exact"/>
              <w:rPr>
                <w:sz w:val="20"/>
                <w:szCs w:val="20"/>
                <w:color w:val="auto"/>
              </w:rPr>
            </w:pPr>
            <w:r>
              <w:rPr>
                <w:rFonts w:ascii="Arial" w:cs="Arial" w:eastAsia="Arial" w:hAnsi="Arial"/>
                <w:sz w:val="14"/>
                <w:szCs w:val="14"/>
                <w:color w:val="auto"/>
              </w:rPr>
              <w:t>application load balancing, certificate</w:t>
            </w: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Druva (cloud backups)</w:t>
            </w:r>
          </w:p>
        </w:tc>
        <w:tc>
          <w:tcPr>
            <w:tcW w:w="11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4"/>
                <w:szCs w:val="14"/>
                <w:color w:val="auto"/>
              </w:rPr>
              <w:t>management, and federated identity.</w:t>
            </w:r>
          </w:p>
        </w:tc>
        <w:tc>
          <w:tcPr>
            <w:tcW w:w="220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Administer the change management and</w:t>
            </w: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MarkMonitor</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w w:val="90"/>
              </w:rPr>
              <w:t>control processes when deploying Genworth-</w:t>
            </w: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Ping</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wide infrastructure changes.</w:t>
            </w: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F5 Networks</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4"/>
                <w:szCs w:val="14"/>
                <w:color w:val="auto"/>
              </w:rPr>
              <w:t>TCS</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Sirius</w:t>
            </w:r>
          </w:p>
        </w:tc>
        <w:tc>
          <w:tcPr>
            <w:tcW w:w="114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GF will provide these services to</w:t>
            </w:r>
          </w:p>
        </w:tc>
        <w:tc>
          <w:tcPr>
            <w:tcW w:w="114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w w:val="94"/>
              </w:rPr>
              <w:t>Company until an agreed date when</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4"/>
              </w:rPr>
              <w:t>Provide access to the company’s directory</w:t>
            </w:r>
          </w:p>
        </w:tc>
        <w:tc>
          <w:tcPr>
            <w:tcW w:w="2200" w:type="dxa"/>
            <w:vAlign w:val="bottom"/>
            <w:tcBorders>
              <w:right w:val="single" w:sz="8" w:color="auto"/>
            </w:tcBorders>
          </w:tcPr>
          <w:p>
            <w:pPr>
              <w:ind w:left="40"/>
              <w:spacing w:after="0" w:line="133" w:lineRule="exact"/>
              <w:rPr>
                <w:sz w:val="20"/>
                <w:szCs w:val="20"/>
                <w:color w:val="auto"/>
              </w:rPr>
            </w:pPr>
            <w:r>
              <w:rPr>
                <w:rFonts w:ascii="Arial" w:cs="Arial" w:eastAsia="Arial" w:hAnsi="Arial"/>
                <w:sz w:val="14"/>
                <w:szCs w:val="14"/>
                <w:color w:val="auto"/>
                <w:w w:val="95"/>
              </w:rPr>
              <w:t>Company will assume responsibility</w:t>
            </w:r>
          </w:p>
        </w:tc>
        <w:tc>
          <w:tcPr>
            <w:tcW w:w="11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00" w:type="dxa"/>
            <w:vAlign w:val="bottom"/>
            <w:tcBorders>
              <w:right w:val="single" w:sz="8" w:color="auto"/>
            </w:tcBorders>
            <w:vMerge w:val="restart"/>
          </w:tcPr>
          <w:p>
            <w:pPr>
              <w:ind w:left="40"/>
              <w:spacing w:after="0" w:line="133" w:lineRule="exact"/>
              <w:rPr>
                <w:sz w:val="20"/>
                <w:szCs w:val="20"/>
                <w:color w:val="auto"/>
              </w:rPr>
            </w:pPr>
            <w:r>
              <w:rPr>
                <w:rFonts w:ascii="Arial" w:cs="Arial" w:eastAsia="Arial" w:hAnsi="Arial"/>
                <w:sz w:val="14"/>
                <w:szCs w:val="14"/>
                <w:color w:val="auto"/>
                <w:w w:val="95"/>
              </w:rPr>
              <w:t>for these services and provide them</w:t>
            </w:r>
          </w:p>
        </w:tc>
        <w:tc>
          <w:tcPr>
            <w:tcW w:w="11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80"/>
              <w:spacing w:after="0" w:line="133" w:lineRule="exact"/>
              <w:rPr>
                <w:sz w:val="20"/>
                <w:szCs w:val="20"/>
                <w:color w:val="auto"/>
              </w:rPr>
            </w:pPr>
            <w:r>
              <w:rPr>
                <w:rFonts w:ascii="Arial" w:cs="Arial" w:eastAsia="Arial" w:hAnsi="Arial"/>
                <w:sz w:val="14"/>
                <w:szCs w:val="14"/>
                <w:color w:val="auto"/>
              </w:rPr>
              <w:t>service application for network</w:t>
            </w:r>
          </w:p>
        </w:tc>
        <w:tc>
          <w:tcPr>
            <w:tcW w:w="22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Fee basis to be agreed</w:t>
            </w: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00" w:type="dxa"/>
            <w:vAlign w:val="bottom"/>
            <w:tcBorders>
              <w:right w:val="single" w:sz="8" w:color="auto"/>
            </w:tcBorders>
            <w:vMerge w:val="restart"/>
          </w:tcPr>
          <w:p>
            <w:pPr>
              <w:ind w:left="40"/>
              <w:spacing w:after="0" w:line="133" w:lineRule="exact"/>
              <w:rPr>
                <w:sz w:val="20"/>
                <w:szCs w:val="20"/>
                <w:color w:val="auto"/>
              </w:rPr>
            </w:pPr>
            <w:r>
              <w:rPr>
                <w:rFonts w:ascii="Arial" w:cs="Arial" w:eastAsia="Arial" w:hAnsi="Arial"/>
                <w:sz w:val="14"/>
                <w:szCs w:val="14"/>
                <w:color w:val="auto"/>
              </w:rPr>
              <w:t>back to GF</w:t>
            </w:r>
          </w:p>
        </w:tc>
        <w:tc>
          <w:tcPr>
            <w:tcW w:w="11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w w:val="92"/>
              </w:rPr>
              <w:t>authentication and technology entitlements.</w:t>
            </w:r>
          </w:p>
        </w:tc>
        <w:tc>
          <w:tcPr>
            <w:tcW w:w="22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26</w:t>
            </w: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87"/>
              </w:rPr>
              <w:t>Collaboration technologies</w:t>
            </w:r>
          </w:p>
        </w:tc>
        <w:tc>
          <w:tcPr>
            <w:tcW w:w="2600" w:type="dxa"/>
            <w:vAlign w:val="bottom"/>
            <w:tcBorders>
              <w:right w:val="single" w:sz="8" w:color="auto"/>
            </w:tcBorders>
            <w:vMerge w:val="continue"/>
          </w:tcPr>
          <w:p>
            <w:pPr>
              <w:spacing w:after="0"/>
              <w:rPr>
                <w:sz w:val="7"/>
                <w:szCs w:val="7"/>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and to AUS MI.</w:t>
            </w:r>
          </w:p>
        </w:tc>
        <w:tc>
          <w:tcPr>
            <w:tcW w:w="11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Direct Bill</w:t>
            </w: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upon by GF and</w:t>
            </w: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6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Provide access to the company’s</w:t>
            </w: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Microsoft Teams</w:t>
            </w:r>
          </w:p>
        </w:tc>
        <w:tc>
          <w:tcPr>
            <w:tcW w:w="11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Company.</w:t>
            </w: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20"/>
              <w:spacing w:after="0" w:line="133" w:lineRule="exact"/>
              <w:rPr>
                <w:sz w:val="20"/>
                <w:szCs w:val="20"/>
                <w:color w:val="auto"/>
              </w:rPr>
            </w:pPr>
            <w:r>
              <w:rPr>
                <w:rFonts w:ascii="Arial" w:cs="Arial" w:eastAsia="Arial" w:hAnsi="Arial"/>
                <w:sz w:val="14"/>
                <w:szCs w:val="14"/>
                <w:color w:val="auto"/>
              </w:rPr>
              <w:t>collaboration suite, which includes email,</w:t>
            </w:r>
          </w:p>
        </w:tc>
        <w:tc>
          <w:tcPr>
            <w:tcW w:w="22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Microsoft Sharepoint</w:t>
            </w:r>
          </w:p>
        </w:tc>
        <w:tc>
          <w:tcPr>
            <w:tcW w:w="11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20"/>
              <w:spacing w:after="0" w:line="133" w:lineRule="exact"/>
              <w:rPr>
                <w:sz w:val="20"/>
                <w:szCs w:val="20"/>
                <w:color w:val="auto"/>
              </w:rPr>
            </w:pPr>
            <w:r>
              <w:rPr>
                <w:rFonts w:ascii="Arial" w:cs="Arial" w:eastAsia="Arial" w:hAnsi="Arial"/>
                <w:sz w:val="14"/>
                <w:szCs w:val="14"/>
                <w:color w:val="auto"/>
              </w:rPr>
              <w:t>email archival, instant message, video</w:t>
            </w:r>
          </w:p>
        </w:tc>
        <w:tc>
          <w:tcPr>
            <w:tcW w:w="22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Microsoft Identity Management</w:t>
            </w:r>
          </w:p>
        </w:tc>
        <w:tc>
          <w:tcPr>
            <w:tcW w:w="11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20"/>
              <w:spacing w:after="0" w:line="133" w:lineRule="exact"/>
              <w:rPr>
                <w:sz w:val="20"/>
                <w:szCs w:val="20"/>
                <w:color w:val="auto"/>
              </w:rPr>
            </w:pPr>
            <w:r>
              <w:rPr>
                <w:rFonts w:ascii="Arial" w:cs="Arial" w:eastAsia="Arial" w:hAnsi="Arial"/>
                <w:sz w:val="14"/>
                <w:szCs w:val="14"/>
                <w:color w:val="auto"/>
              </w:rPr>
              <w:t>conferencing and document sharing</w:t>
            </w:r>
          </w:p>
        </w:tc>
        <w:tc>
          <w:tcPr>
            <w:tcW w:w="22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2200" w:type="dxa"/>
            <w:vAlign w:val="bottom"/>
            <w:tcBorders>
              <w:right w:val="single" w:sz="8" w:color="auto"/>
            </w:tcBorders>
            <w:vMerge w:val="restart"/>
          </w:tcPr>
          <w:p>
            <w:pPr>
              <w:ind w:left="100"/>
              <w:spacing w:after="0" w:line="133" w:lineRule="exact"/>
              <w:rPr>
                <w:sz w:val="20"/>
                <w:szCs w:val="20"/>
                <w:color w:val="auto"/>
              </w:rPr>
            </w:pPr>
            <w:r>
              <w:rPr>
                <w:rFonts w:ascii="Arial" w:cs="Arial" w:eastAsia="Arial" w:hAnsi="Arial"/>
                <w:sz w:val="14"/>
                <w:szCs w:val="14"/>
                <w:color w:val="auto"/>
              </w:rPr>
              <w:t>Microsoft Office 365</w:t>
            </w:r>
          </w:p>
        </w:tc>
        <w:tc>
          <w:tcPr>
            <w:tcW w:w="11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applications.</w:t>
            </w:r>
          </w:p>
        </w:tc>
        <w:tc>
          <w:tcPr>
            <w:tcW w:w="22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Microsoft Active Directory</w:t>
            </w: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00"/>
          </w:cols>
          <w:pgMar w:left="300" w:top="1278" w:right="29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6" w:hanging="346"/>
        <w:spacing w:after="0" w:line="202" w:lineRule="auto"/>
        <w:tabs>
          <w:tab w:leader="none" w:pos="346" w:val="left"/>
        </w:tabs>
        <w:numPr>
          <w:ilvl w:val="0"/>
          <w:numId w:val="148"/>
        </w:numPr>
        <w:rPr>
          <w:rFonts w:ascii="Arial" w:cs="Arial" w:eastAsia="Arial" w:hAnsi="Arial"/>
          <w:sz w:val="23"/>
          <w:szCs w:val="23"/>
          <w:b w:val="1"/>
          <w:bCs w:val="1"/>
          <w:color w:val="auto"/>
          <w:vertAlign w:val="subscript"/>
        </w:rPr>
      </w:pPr>
      <w:r>
        <w:rPr>
          <w:rFonts w:ascii="Arial" w:cs="Arial" w:eastAsia="Arial" w:hAnsi="Arial"/>
          <w:sz w:val="12"/>
          <w:szCs w:val="12"/>
          <w:b w:val="1"/>
          <w:bCs w:val="1"/>
          <w:color w:val="auto"/>
        </w:rPr>
        <w:t>Technical Assistance for Datacenter Services</w:t>
      </w:r>
    </w:p>
    <w:p>
      <w:pPr>
        <w:spacing w:after="0" w:line="20" w:lineRule="exact"/>
        <w:rPr>
          <w:sz w:val="20"/>
          <w:szCs w:val="20"/>
          <w:color w:val="auto"/>
        </w:rPr>
      </w:pPr>
      <w:r>
        <w:rPr>
          <w:sz w:val="20"/>
          <w:szCs w:val="20"/>
          <w:color w:val="auto"/>
        </w:rPr>
        <w:br w:type="column"/>
      </w:r>
    </w:p>
    <w:p>
      <w:pPr>
        <w:ind w:left="20"/>
        <w:spacing w:after="0" w:line="218" w:lineRule="auto"/>
        <w:rPr>
          <w:sz w:val="20"/>
          <w:szCs w:val="20"/>
          <w:color w:val="auto"/>
        </w:rPr>
      </w:pPr>
      <w:r>
        <w:rPr>
          <w:rFonts w:ascii="Arial" w:cs="Arial" w:eastAsia="Arial" w:hAnsi="Arial"/>
          <w:sz w:val="14"/>
          <w:szCs w:val="14"/>
          <w:color w:val="auto"/>
        </w:rPr>
        <w:t>Company will provide technical assistance to GF outsourcing vendor as needed for the following services:</w:t>
      </w:r>
    </w:p>
    <w:p>
      <w:pPr>
        <w:spacing w:after="0" w:line="146" w:lineRule="exact"/>
        <w:rPr>
          <w:sz w:val="20"/>
          <w:szCs w:val="20"/>
          <w:color w:val="auto"/>
        </w:rPr>
      </w:pPr>
    </w:p>
    <w:p>
      <w:pPr>
        <w:ind w:left="60" w:right="100"/>
        <w:spacing w:after="0" w:line="271" w:lineRule="auto"/>
        <w:rPr>
          <w:sz w:val="20"/>
          <w:szCs w:val="20"/>
          <w:color w:val="auto"/>
        </w:rPr>
      </w:pPr>
      <w:r>
        <w:rPr>
          <w:rFonts w:ascii="Arial" w:cs="Arial" w:eastAsia="Arial" w:hAnsi="Arial"/>
          <w:sz w:val="11"/>
          <w:szCs w:val="11"/>
          <w:color w:val="auto"/>
        </w:rPr>
        <w:t>Manage the computing resources hosted within Genworth's on-premise data centers (Lynchburg, Raleigh, and Blythewood). Ensure that physical security and data center access is administered in a manner consistent with company policy.</w:t>
      </w:r>
    </w:p>
    <w:p>
      <w:pPr>
        <w:spacing w:after="0" w:line="128" w:lineRule="exact"/>
        <w:rPr>
          <w:sz w:val="20"/>
          <w:szCs w:val="20"/>
          <w:color w:val="auto"/>
        </w:rPr>
      </w:pPr>
    </w:p>
    <w:p>
      <w:pPr>
        <w:ind w:left="60" w:right="80"/>
        <w:spacing w:after="0" w:line="275" w:lineRule="auto"/>
        <w:rPr>
          <w:sz w:val="20"/>
          <w:szCs w:val="20"/>
          <w:color w:val="auto"/>
        </w:rPr>
      </w:pPr>
      <w:r>
        <w:rPr>
          <w:rFonts w:ascii="Arial" w:cs="Arial" w:eastAsia="Arial" w:hAnsi="Arial"/>
          <w:sz w:val="11"/>
          <w:szCs w:val="11"/>
          <w:color w:val="auto"/>
        </w:rPr>
        <w:t>Provide administration of server, network, and storage hardware. Deploy security patches in manners that are consistent with security policy and mutually agreed upon change control protocols.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Execute backups of the Company data.</w:t>
      </w:r>
    </w:p>
    <w:p>
      <w:pPr>
        <w:spacing w:after="0" w:line="169" w:lineRule="exact"/>
        <w:rPr>
          <w:sz w:val="20"/>
          <w:szCs w:val="20"/>
          <w:color w:val="auto"/>
        </w:rPr>
      </w:pPr>
    </w:p>
    <w:p>
      <w:pPr>
        <w:jc w:val="both"/>
        <w:ind w:right="140"/>
        <w:spacing w:after="0" w:line="230" w:lineRule="auto"/>
        <w:rPr>
          <w:sz w:val="20"/>
          <w:szCs w:val="20"/>
          <w:color w:val="auto"/>
        </w:rPr>
      </w:pPr>
      <w:r>
        <w:rPr>
          <w:rFonts w:ascii="Arial" w:cs="Arial" w:eastAsia="Arial" w:hAnsi="Arial"/>
          <w:sz w:val="13"/>
          <w:szCs w:val="13"/>
          <w:color w:val="auto"/>
        </w:rPr>
        <w:t>Provide assistance during disaster recovery drills as directed by the Company. Execute the Company recovery plans if a disaster is invoked.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820"/>
        <w:spacing w:after="0" w:line="218" w:lineRule="auto"/>
        <w:rPr>
          <w:sz w:val="20"/>
          <w:szCs w:val="20"/>
          <w:color w:val="auto"/>
        </w:rPr>
      </w:pPr>
      <w:r>
        <w:rPr>
          <w:rFonts w:ascii="Arial" w:cs="Arial" w:eastAsia="Arial" w:hAnsi="Arial"/>
          <w:sz w:val="14"/>
          <w:szCs w:val="14"/>
          <w:color w:val="auto"/>
        </w:rPr>
        <w:t>This service will commence at a future date as agreed by GF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-544830</wp:posOffset>
            </wp:positionV>
            <wp:extent cx="7171690" cy="21170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71690" cy="21170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VMWare</w:t>
      </w:r>
    </w:p>
    <w:p>
      <w:pPr>
        <w:spacing w:after="0" w:line="198" w:lineRule="auto"/>
        <w:rPr>
          <w:sz w:val="20"/>
          <w:szCs w:val="20"/>
          <w:color w:val="auto"/>
        </w:rPr>
      </w:pPr>
      <w:r>
        <w:rPr>
          <w:rFonts w:ascii="Arial" w:cs="Arial" w:eastAsia="Arial" w:hAnsi="Arial"/>
          <w:sz w:val="14"/>
          <w:szCs w:val="14"/>
          <w:color w:val="auto"/>
        </w:rPr>
        <w:t>RedHat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Microsoft (operating system and</w:t>
      </w:r>
    </w:p>
    <w:p>
      <w:pPr>
        <w:spacing w:after="0" w:line="225" w:lineRule="auto"/>
        <w:rPr>
          <w:sz w:val="20"/>
          <w:szCs w:val="20"/>
          <w:color w:val="auto"/>
        </w:rPr>
      </w:pPr>
      <w:r>
        <w:rPr>
          <w:rFonts w:ascii="Arial" w:cs="Arial" w:eastAsia="Arial" w:hAnsi="Arial"/>
          <w:sz w:val="13"/>
          <w:szCs w:val="13"/>
          <w:color w:val="auto"/>
        </w:rPr>
        <w:t>patch management software)</w:t>
      </w:r>
    </w:p>
    <w:p>
      <w:pPr>
        <w:spacing w:after="0" w:line="198" w:lineRule="auto"/>
        <w:rPr>
          <w:sz w:val="20"/>
          <w:szCs w:val="20"/>
          <w:color w:val="auto"/>
        </w:rPr>
      </w:pPr>
      <w:r>
        <w:rPr>
          <w:rFonts w:ascii="Arial" w:cs="Arial" w:eastAsia="Arial" w:hAnsi="Arial"/>
          <w:sz w:val="14"/>
          <w:szCs w:val="14"/>
          <w:color w:val="auto"/>
        </w:rPr>
        <w:t>Commvault</w:t>
      </w:r>
    </w:p>
    <w:p>
      <w:pPr>
        <w:spacing w:after="0" w:line="199" w:lineRule="auto"/>
        <w:rPr>
          <w:sz w:val="20"/>
          <w:szCs w:val="20"/>
          <w:color w:val="auto"/>
        </w:rPr>
      </w:pPr>
      <w:r>
        <w:rPr>
          <w:rFonts w:ascii="Arial" w:cs="Arial" w:eastAsia="Arial" w:hAnsi="Arial"/>
          <w:sz w:val="14"/>
          <w:szCs w:val="14"/>
          <w:color w:val="auto"/>
        </w:rPr>
        <w:t>SolarWinds</w:t>
      </w:r>
    </w:p>
    <w:p>
      <w:pPr>
        <w:spacing w:after="0" w:line="199" w:lineRule="auto"/>
        <w:rPr>
          <w:sz w:val="20"/>
          <w:szCs w:val="20"/>
          <w:color w:val="auto"/>
        </w:rPr>
      </w:pPr>
      <w:r>
        <w:rPr>
          <w:rFonts w:ascii="Arial" w:cs="Arial" w:eastAsia="Arial" w:hAnsi="Arial"/>
          <w:sz w:val="14"/>
          <w:szCs w:val="14"/>
          <w:color w:val="auto"/>
        </w:rPr>
        <w:t>QAS authentication</w:t>
      </w:r>
    </w:p>
    <w:p>
      <w:pPr>
        <w:spacing w:after="0" w:line="199" w:lineRule="auto"/>
        <w:rPr>
          <w:sz w:val="20"/>
          <w:szCs w:val="20"/>
          <w:color w:val="auto"/>
        </w:rPr>
      </w:pPr>
      <w:r>
        <w:rPr>
          <w:rFonts w:ascii="Arial" w:cs="Arial" w:eastAsia="Arial" w:hAnsi="Arial"/>
          <w:sz w:val="14"/>
          <w:szCs w:val="14"/>
          <w:color w:val="auto"/>
        </w:rPr>
        <w:t>Randstad</w:t>
      </w:r>
    </w:p>
    <w:p>
      <w:pPr>
        <w:spacing w:after="0" w:line="199" w:lineRule="auto"/>
        <w:rPr>
          <w:sz w:val="20"/>
          <w:szCs w:val="20"/>
          <w:color w:val="auto"/>
        </w:rPr>
      </w:pPr>
      <w:r>
        <w:rPr>
          <w:rFonts w:ascii="Arial" w:cs="Arial" w:eastAsia="Arial" w:hAnsi="Arial"/>
          <w:sz w:val="14"/>
          <w:szCs w:val="14"/>
          <w:color w:val="auto"/>
        </w:rPr>
        <w:t>Compuware</w:t>
      </w:r>
    </w:p>
    <w:p>
      <w:pPr>
        <w:spacing w:after="0" w:line="198" w:lineRule="auto"/>
        <w:rPr>
          <w:sz w:val="20"/>
          <w:szCs w:val="20"/>
          <w:color w:val="auto"/>
        </w:rPr>
      </w:pPr>
      <w:r>
        <w:rPr>
          <w:rFonts w:ascii="Arial" w:cs="Arial" w:eastAsia="Arial" w:hAnsi="Arial"/>
          <w:sz w:val="14"/>
          <w:szCs w:val="14"/>
          <w:color w:val="auto"/>
        </w:rPr>
        <w:t>AToS</w:t>
      </w:r>
    </w:p>
    <w:p>
      <w:pPr>
        <w:spacing w:after="0" w:line="199" w:lineRule="auto"/>
        <w:rPr>
          <w:sz w:val="20"/>
          <w:szCs w:val="20"/>
          <w:color w:val="auto"/>
        </w:rPr>
      </w:pPr>
      <w:r>
        <w:rPr>
          <w:rFonts w:ascii="Arial" w:cs="Arial" w:eastAsia="Arial" w:hAnsi="Arial"/>
          <w:sz w:val="14"/>
          <w:szCs w:val="14"/>
          <w:color w:val="auto"/>
        </w:rPr>
        <w:t>NetApps</w:t>
      </w:r>
    </w:p>
    <w:p>
      <w:pPr>
        <w:spacing w:after="0" w:line="199" w:lineRule="auto"/>
        <w:rPr>
          <w:sz w:val="20"/>
          <w:szCs w:val="20"/>
          <w:color w:val="auto"/>
        </w:rPr>
      </w:pPr>
      <w:r>
        <w:rPr>
          <w:rFonts w:ascii="Arial" w:cs="Arial" w:eastAsia="Arial" w:hAnsi="Arial"/>
          <w:sz w:val="14"/>
          <w:szCs w:val="14"/>
          <w:color w:val="auto"/>
        </w:rPr>
        <w:t>Isilon</w:t>
      </w:r>
    </w:p>
    <w:p>
      <w:pPr>
        <w:spacing w:after="0" w:line="199" w:lineRule="auto"/>
        <w:rPr>
          <w:sz w:val="20"/>
          <w:szCs w:val="20"/>
          <w:color w:val="auto"/>
        </w:rPr>
      </w:pPr>
      <w:r>
        <w:rPr>
          <w:rFonts w:ascii="Arial" w:cs="Arial" w:eastAsia="Arial" w:hAnsi="Arial"/>
          <w:sz w:val="14"/>
          <w:szCs w:val="14"/>
          <w:color w:val="auto"/>
        </w:rPr>
        <w:t>Oracle (servers)</w:t>
      </w:r>
    </w:p>
    <w:p>
      <w:pPr>
        <w:spacing w:after="0"/>
        <w:rPr>
          <w:sz w:val="20"/>
          <w:szCs w:val="20"/>
          <w:color w:val="auto"/>
        </w:rPr>
      </w:pPr>
      <w:r>
        <w:rPr>
          <w:rFonts w:ascii="Arial" w:cs="Arial" w:eastAsia="Arial" w:hAnsi="Arial"/>
          <w:sz w:val="14"/>
          <w:szCs w:val="14"/>
          <w:color w:val="auto"/>
        </w:rPr>
        <w:t>Cisco (network and servers)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Fee basis to be agreed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upon by GF and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1617" w:lineRule="exact"/>
        <w:rPr>
          <w:sz w:val="20"/>
          <w:szCs w:val="20"/>
          <w:color w:val="auto"/>
        </w:rPr>
      </w:pPr>
    </w:p>
    <w:p>
      <w:pPr>
        <w:sectPr>
          <w:pgSz w:w="11900" w:h="16838" w:orient="portrait"/>
          <w:cols w:equalWidth="0" w:num="4">
            <w:col w:w="1746" w:space="240"/>
            <w:col w:w="2500" w:space="180"/>
            <w:col w:w="2580" w:space="720"/>
            <w:col w:w="2039"/>
          </w:cols>
          <w:pgMar w:left="454" w:top="11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005"/>
          </w:cols>
          <w:pgMar w:left="454" w:top="1155" w:right="1440" w:bottom="1440" w:gutter="0" w:footer="0" w:header="0"/>
          <w:type w:val="continuous"/>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6" w:hanging="346"/>
        <w:spacing w:after="0" w:line="181" w:lineRule="auto"/>
        <w:tabs>
          <w:tab w:leader="none" w:pos="346" w:val="left"/>
        </w:tabs>
        <w:numPr>
          <w:ilvl w:val="0"/>
          <w:numId w:val="149"/>
        </w:numPr>
        <w:rPr>
          <w:rFonts w:ascii="Arial" w:cs="Arial" w:eastAsia="Arial" w:hAnsi="Arial"/>
          <w:sz w:val="26"/>
          <w:szCs w:val="26"/>
          <w:b w:val="1"/>
          <w:bCs w:val="1"/>
          <w:color w:val="auto"/>
          <w:vertAlign w:val="subscript"/>
        </w:rPr>
      </w:pPr>
      <w:r>
        <w:rPr>
          <w:rFonts w:ascii="Arial" w:cs="Arial" w:eastAsia="Arial" w:hAnsi="Arial"/>
          <w:sz w:val="13"/>
          <w:szCs w:val="13"/>
          <w:b w:val="1"/>
          <w:bCs w:val="1"/>
          <w:color w:val="auto"/>
        </w:rPr>
        <w:t>Network and network security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0"/>
        <w:spacing w:after="0" w:line="218" w:lineRule="auto"/>
        <w:rPr>
          <w:sz w:val="20"/>
          <w:szCs w:val="20"/>
          <w:color w:val="auto"/>
        </w:rPr>
      </w:pPr>
      <w:r>
        <w:rPr>
          <w:rFonts w:ascii="Arial" w:cs="Arial" w:eastAsia="Arial" w:hAnsi="Arial"/>
          <w:sz w:val="14"/>
          <w:szCs w:val="14"/>
          <w:color w:val="auto"/>
        </w:rPr>
        <w:t>Company will provide technical assistance to GF outsourcing vendor as needed for the following services:</w:t>
      </w:r>
    </w:p>
    <w:p>
      <w:pPr>
        <w:spacing w:after="0" w:line="146" w:lineRule="exact"/>
        <w:rPr>
          <w:sz w:val="20"/>
          <w:szCs w:val="20"/>
          <w:color w:val="auto"/>
        </w:rPr>
      </w:pPr>
    </w:p>
    <w:p>
      <w:pPr>
        <w:ind w:left="60"/>
        <w:spacing w:after="0" w:line="201" w:lineRule="auto"/>
        <w:rPr>
          <w:sz w:val="20"/>
          <w:szCs w:val="20"/>
          <w:color w:val="auto"/>
        </w:rPr>
      </w:pPr>
      <w:r>
        <w:rPr>
          <w:rFonts w:ascii="Arial" w:cs="Arial" w:eastAsia="Arial" w:hAnsi="Arial"/>
          <w:sz w:val="14"/>
          <w:szCs w:val="14"/>
          <w:color w:val="auto"/>
        </w:rPr>
        <w:t>Administration of computing resources which enable Genworth to securely exchange electronic information both internally and externally. Includes local-area network (LAN), wide-area network (WAN), and the network operations center (NOC). Provides access to the remote access system.</w:t>
      </w:r>
    </w:p>
    <w:p>
      <w:pPr>
        <w:ind w:left="60" w:right="140"/>
        <w:spacing w:after="0" w:line="253" w:lineRule="auto"/>
        <w:rPr>
          <w:sz w:val="20"/>
          <w:szCs w:val="20"/>
          <w:color w:val="auto"/>
        </w:rPr>
      </w:pPr>
      <w:r>
        <w:rPr>
          <w:rFonts w:ascii="Arial" w:cs="Arial" w:eastAsia="Arial" w:hAnsi="Arial"/>
          <w:sz w:val="11"/>
          <w:szCs w:val="11"/>
          <w:color w:val="auto"/>
        </w:rPr>
        <w:t>Provide network access to the Company’s cloud computing environments.</w:t>
      </w:r>
    </w:p>
    <w:p>
      <w:pPr>
        <w:ind w:left="60" w:right="20"/>
        <w:spacing w:after="0" w:line="253" w:lineRule="auto"/>
        <w:rPr>
          <w:sz w:val="20"/>
          <w:szCs w:val="20"/>
          <w:color w:val="auto"/>
        </w:rPr>
      </w:pPr>
      <w:r>
        <w:rPr>
          <w:rFonts w:ascii="Arial" w:cs="Arial" w:eastAsia="Arial" w:hAnsi="Arial"/>
          <w:sz w:val="11"/>
          <w:szCs w:val="11"/>
          <w:color w:val="auto"/>
        </w:rPr>
        <w:t>Provide access to the network infrastructure to enable information exchanges between the Company and third Parties.</w:t>
      </w:r>
    </w:p>
    <w:p>
      <w:pPr>
        <w:ind w:right="20"/>
        <w:spacing w:after="0" w:line="264" w:lineRule="auto"/>
        <w:rPr>
          <w:sz w:val="20"/>
          <w:szCs w:val="20"/>
          <w:color w:val="auto"/>
        </w:rPr>
      </w:pPr>
      <w:r>
        <w:rPr>
          <w:rFonts w:ascii="Arial" w:cs="Arial" w:eastAsia="Arial" w:hAnsi="Arial"/>
          <w:sz w:val="11"/>
          <w:szCs w:val="11"/>
          <w:color w:val="auto"/>
        </w:rPr>
        <w:t>Network security includes data loss prevention, URL filtering, firewall, and intrusion prevention administration. Network security administers the Security Events and Information Manger system (SEIM). The SEIM is used by Security Operations Center to identify potential security incidents.</w:t>
      </w:r>
    </w:p>
    <w:p>
      <w:pPr>
        <w:spacing w:after="0" w:line="20" w:lineRule="exact"/>
        <w:rPr>
          <w:sz w:val="20"/>
          <w:szCs w:val="20"/>
          <w:color w:val="auto"/>
        </w:rPr>
      </w:pPr>
      <w:r>
        <w:rPr>
          <w:sz w:val="20"/>
          <w:szCs w:val="20"/>
          <w:color w:val="auto"/>
        </w:rPr>
        <w:br w:type="column"/>
      </w:r>
    </w:p>
    <w:p>
      <w:pPr>
        <w:ind w:right="580"/>
        <w:spacing w:after="0" w:line="275" w:lineRule="auto"/>
        <w:rPr>
          <w:sz w:val="20"/>
          <w:szCs w:val="20"/>
          <w:color w:val="auto"/>
        </w:rPr>
      </w:pPr>
      <w:r>
        <w:rPr>
          <w:rFonts w:ascii="Arial" w:cs="Arial" w:eastAsia="Arial" w:hAnsi="Arial"/>
          <w:sz w:val="11"/>
          <w:szCs w:val="11"/>
          <w:color w:val="auto"/>
        </w:rPr>
        <w:t>This service will commence at a future date as agreed by GF and Company. Full network and network security services will be provided to AUS MI (and not to 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-465455</wp:posOffset>
            </wp:positionV>
            <wp:extent cx="7171690" cy="23710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71690" cy="23710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Neustar</w:t>
      </w:r>
    </w:p>
    <w:p>
      <w:pPr>
        <w:spacing w:after="0" w:line="198" w:lineRule="auto"/>
        <w:rPr>
          <w:sz w:val="20"/>
          <w:szCs w:val="20"/>
          <w:color w:val="auto"/>
        </w:rPr>
      </w:pPr>
      <w:r>
        <w:rPr>
          <w:rFonts w:ascii="Arial" w:cs="Arial" w:eastAsia="Arial" w:hAnsi="Arial"/>
          <w:sz w:val="14"/>
          <w:szCs w:val="14"/>
          <w:color w:val="auto"/>
        </w:rPr>
        <w:t>Cisco</w:t>
      </w:r>
    </w:p>
    <w:p>
      <w:pPr>
        <w:spacing w:after="0" w:line="199" w:lineRule="auto"/>
        <w:rPr>
          <w:sz w:val="20"/>
          <w:szCs w:val="20"/>
          <w:color w:val="auto"/>
        </w:rPr>
      </w:pPr>
      <w:r>
        <w:rPr>
          <w:rFonts w:ascii="Arial" w:cs="Arial" w:eastAsia="Arial" w:hAnsi="Arial"/>
          <w:sz w:val="14"/>
          <w:szCs w:val="14"/>
          <w:color w:val="auto"/>
        </w:rPr>
        <w:t>Randstand</w:t>
      </w:r>
    </w:p>
    <w:p>
      <w:pPr>
        <w:spacing w:after="0" w:line="199" w:lineRule="auto"/>
        <w:rPr>
          <w:sz w:val="20"/>
          <w:szCs w:val="20"/>
          <w:color w:val="auto"/>
        </w:rPr>
      </w:pPr>
      <w:r>
        <w:rPr>
          <w:rFonts w:ascii="Arial" w:cs="Arial" w:eastAsia="Arial" w:hAnsi="Arial"/>
          <w:sz w:val="14"/>
          <w:szCs w:val="14"/>
          <w:color w:val="auto"/>
        </w:rPr>
        <w:t>MoJo AirTight (WIPS)</w:t>
      </w:r>
    </w:p>
    <w:p>
      <w:pPr>
        <w:spacing w:after="0" w:line="199" w:lineRule="auto"/>
        <w:rPr>
          <w:sz w:val="20"/>
          <w:szCs w:val="20"/>
          <w:color w:val="auto"/>
        </w:rPr>
      </w:pPr>
      <w:r>
        <w:rPr>
          <w:rFonts w:ascii="Arial" w:cs="Arial" w:eastAsia="Arial" w:hAnsi="Arial"/>
          <w:sz w:val="14"/>
          <w:szCs w:val="14"/>
          <w:color w:val="auto"/>
        </w:rPr>
        <w:t>PaloAlto</w:t>
      </w:r>
    </w:p>
    <w:p>
      <w:pPr>
        <w:spacing w:after="0" w:line="198" w:lineRule="auto"/>
        <w:rPr>
          <w:sz w:val="20"/>
          <w:szCs w:val="20"/>
          <w:color w:val="auto"/>
        </w:rPr>
      </w:pPr>
      <w:r>
        <w:rPr>
          <w:rFonts w:ascii="Arial" w:cs="Arial" w:eastAsia="Arial" w:hAnsi="Arial"/>
          <w:sz w:val="14"/>
          <w:szCs w:val="14"/>
          <w:color w:val="auto"/>
        </w:rPr>
        <w:t>RSA (secure tokens)</w:t>
      </w:r>
    </w:p>
    <w:p>
      <w:pPr>
        <w:spacing w:after="0" w:line="199" w:lineRule="auto"/>
        <w:rPr>
          <w:sz w:val="20"/>
          <w:szCs w:val="20"/>
          <w:color w:val="auto"/>
        </w:rPr>
      </w:pPr>
      <w:r>
        <w:rPr>
          <w:rFonts w:ascii="Arial" w:cs="Arial" w:eastAsia="Arial" w:hAnsi="Arial"/>
          <w:sz w:val="14"/>
          <w:szCs w:val="14"/>
          <w:color w:val="auto"/>
        </w:rPr>
        <w:t>Forcepoint (URL filtering)</w:t>
      </w:r>
    </w:p>
    <w:p>
      <w:pPr>
        <w:spacing w:after="0" w:line="199" w:lineRule="auto"/>
        <w:rPr>
          <w:sz w:val="20"/>
          <w:szCs w:val="20"/>
          <w:color w:val="auto"/>
        </w:rPr>
      </w:pPr>
      <w:r>
        <w:rPr>
          <w:rFonts w:ascii="Arial" w:cs="Arial" w:eastAsia="Arial" w:hAnsi="Arial"/>
          <w:sz w:val="14"/>
          <w:szCs w:val="14"/>
          <w:color w:val="auto"/>
        </w:rPr>
        <w:t>Solarwinds</w:t>
      </w:r>
    </w:p>
    <w:p>
      <w:pPr>
        <w:spacing w:after="0" w:line="199" w:lineRule="auto"/>
        <w:rPr>
          <w:sz w:val="20"/>
          <w:szCs w:val="20"/>
          <w:color w:val="auto"/>
        </w:rPr>
      </w:pPr>
      <w:r>
        <w:rPr>
          <w:rFonts w:ascii="Arial" w:cs="Arial" w:eastAsia="Arial" w:hAnsi="Arial"/>
          <w:sz w:val="14"/>
          <w:szCs w:val="14"/>
          <w:color w:val="auto"/>
        </w:rPr>
        <w:t>Scrutinizer</w:t>
      </w:r>
    </w:p>
    <w:p>
      <w:pPr>
        <w:spacing w:after="0" w:line="199" w:lineRule="auto"/>
        <w:rPr>
          <w:sz w:val="20"/>
          <w:szCs w:val="20"/>
          <w:color w:val="auto"/>
        </w:rPr>
      </w:pPr>
      <w:r>
        <w:rPr>
          <w:rFonts w:ascii="Arial" w:cs="Arial" w:eastAsia="Arial" w:hAnsi="Arial"/>
          <w:sz w:val="14"/>
          <w:szCs w:val="14"/>
          <w:color w:val="auto"/>
        </w:rPr>
        <w:t>NOVA</w:t>
      </w:r>
    </w:p>
    <w:p>
      <w:pPr>
        <w:spacing w:after="0" w:line="198" w:lineRule="auto"/>
        <w:rPr>
          <w:sz w:val="20"/>
          <w:szCs w:val="20"/>
          <w:color w:val="auto"/>
        </w:rPr>
      </w:pPr>
      <w:r>
        <w:rPr>
          <w:rFonts w:ascii="Arial" w:cs="Arial" w:eastAsia="Arial" w:hAnsi="Arial"/>
          <w:sz w:val="14"/>
          <w:szCs w:val="14"/>
          <w:color w:val="auto"/>
        </w:rPr>
        <w:t>Tuffin</w:t>
      </w:r>
    </w:p>
    <w:p>
      <w:pPr>
        <w:spacing w:after="0" w:line="199" w:lineRule="auto"/>
        <w:rPr>
          <w:sz w:val="20"/>
          <w:szCs w:val="20"/>
          <w:color w:val="auto"/>
        </w:rPr>
      </w:pPr>
      <w:r>
        <w:rPr>
          <w:rFonts w:ascii="Arial" w:cs="Arial" w:eastAsia="Arial" w:hAnsi="Arial"/>
          <w:sz w:val="14"/>
          <w:szCs w:val="14"/>
          <w:color w:val="auto"/>
        </w:rPr>
        <w:t>SkyHigh</w:t>
      </w:r>
    </w:p>
    <w:p>
      <w:pPr>
        <w:spacing w:after="0" w:line="199" w:lineRule="auto"/>
        <w:rPr>
          <w:sz w:val="20"/>
          <w:szCs w:val="20"/>
          <w:color w:val="auto"/>
        </w:rPr>
      </w:pPr>
      <w:r>
        <w:rPr>
          <w:rFonts w:ascii="Arial" w:cs="Arial" w:eastAsia="Arial" w:hAnsi="Arial"/>
          <w:sz w:val="14"/>
          <w:szCs w:val="14"/>
          <w:color w:val="auto"/>
        </w:rPr>
        <w:t>Forescout (NAC)</w:t>
      </w:r>
    </w:p>
    <w:p>
      <w:pPr>
        <w:spacing w:after="0"/>
        <w:rPr>
          <w:sz w:val="20"/>
          <w:szCs w:val="20"/>
          <w:color w:val="auto"/>
        </w:rPr>
      </w:pPr>
      <w:r>
        <w:rPr>
          <w:rFonts w:ascii="Arial" w:cs="Arial" w:eastAsia="Arial" w:hAnsi="Arial"/>
          <w:sz w:val="14"/>
          <w:szCs w:val="14"/>
          <w:color w:val="auto"/>
        </w:rPr>
        <w:t>Infloblox</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Cisco Umbrella OpenDNS</w:t>
      </w:r>
    </w:p>
    <w:p>
      <w:pPr>
        <w:spacing w:after="0" w:line="198" w:lineRule="auto"/>
        <w:rPr>
          <w:sz w:val="20"/>
          <w:szCs w:val="20"/>
          <w:color w:val="auto"/>
        </w:rPr>
      </w:pPr>
      <w:r>
        <w:rPr>
          <w:rFonts w:ascii="Arial" w:cs="Arial" w:eastAsia="Arial" w:hAnsi="Arial"/>
          <w:sz w:val="14"/>
          <w:szCs w:val="14"/>
          <w:color w:val="auto"/>
        </w:rPr>
        <w:t>Akips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ForcePoint (DLP endpoints)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auto"/>
        </w:rPr>
        <w:t>Fee basis to be agreed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upon by GF and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1812" w:lineRule="exact"/>
        <w:rPr>
          <w:sz w:val="20"/>
          <w:szCs w:val="20"/>
          <w:color w:val="auto"/>
        </w:rPr>
      </w:pPr>
    </w:p>
    <w:p>
      <w:pPr>
        <w:sectPr>
          <w:pgSz w:w="11900" w:h="16838" w:orient="portrait"/>
          <w:cols w:equalWidth="0" w:num="4">
            <w:col w:w="1626" w:space="360"/>
            <w:col w:w="2500" w:space="180"/>
            <w:col w:w="2580" w:space="720"/>
            <w:col w:w="2039"/>
          </w:cols>
          <w:pgMar w:left="454" w:top="11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005"/>
          </w:cols>
          <w:pgMar w:left="454" w:top="1155" w:right="1440" w:bottom="1440" w:gutter="0" w:footer="0" w:header="0"/>
          <w:type w:val="continuous"/>
        </w:sectPr>
      </w:pPr>
    </w:p>
    <w:bookmarkStart w:id="257" w:name="page258"/>
    <w:bookmarkEnd w:id="257"/>
    <w:p>
      <w:pPr>
        <w:jc w:val="center"/>
        <w:ind w:right="20"/>
        <w:spacing w:after="0"/>
        <w:rPr>
          <w:sz w:val="20"/>
          <w:szCs w:val="20"/>
          <w:color w:val="auto"/>
        </w:rPr>
      </w:pPr>
      <w:r>
        <w:rPr>
          <w:rFonts w:ascii="Arial" w:cs="Arial" w:eastAsia="Arial" w:hAnsi="Arial"/>
          <w:sz w:val="16"/>
          <w:szCs w:val="16"/>
          <w:b w:val="1"/>
          <w:bCs w:val="1"/>
          <w:u w:val="single" w:color="auto"/>
          <w:color w:val="auto"/>
        </w:rPr>
        <w:t>Schedule C</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EXCLUDED SERVICES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520" w:type="dxa"/>
            <w:vAlign w:val="bottom"/>
            <w:tcBorders>
              <w:top w:val="single" w:sz="8" w:color="auto"/>
              <w:left w:val="single" w:sz="8" w:color="auto"/>
              <w:right w:val="single" w:sz="8" w:color="auto"/>
            </w:tcBorders>
            <w:vMerge w:val="restart"/>
            <w:shd w:val="clear" w:color="auto" w:fill="8DB3E2"/>
          </w:tcPr>
          <w:p>
            <w:pPr>
              <w:jc w:val="right"/>
              <w:ind w:right="15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right w:val="single" w:sz="8" w:color="auto"/>
            </w:tcBorders>
            <w:shd w:val="clear" w:color="auto" w:fill="8DB3E2"/>
          </w:tcPr>
          <w:p>
            <w:pPr>
              <w:ind w:left="100"/>
              <w:spacing w:after="0" w:line="154" w:lineRule="exact"/>
              <w:rPr>
                <w:sz w:val="20"/>
                <w:szCs w:val="20"/>
                <w:color w:val="auto"/>
              </w:rPr>
            </w:pPr>
            <w:r>
              <w:rPr>
                <w:rFonts w:ascii="Arial" w:cs="Arial" w:eastAsia="Arial" w:hAnsi="Arial"/>
                <w:sz w:val="14"/>
                <w:szCs w:val="14"/>
                <w:b w:val="1"/>
                <w:bCs w:val="1"/>
                <w:color w:val="auto"/>
                <w:w w:val="94"/>
              </w:rPr>
              <w:t>Service Category</w:t>
            </w:r>
          </w:p>
        </w:tc>
        <w:tc>
          <w:tcPr>
            <w:tcW w:w="2820" w:type="dxa"/>
            <w:vAlign w:val="bottom"/>
            <w:tcBorders>
              <w:top w:val="single" w:sz="8" w:color="auto"/>
              <w:right w:val="single" w:sz="8" w:color="auto"/>
            </w:tcBorders>
            <w:vMerge w:val="restart"/>
            <w:shd w:val="clear" w:color="auto" w:fill="8DB3E2"/>
          </w:tcPr>
          <w:p>
            <w:pPr>
              <w:ind w:left="720"/>
              <w:spacing w:after="0"/>
              <w:rPr>
                <w:sz w:val="20"/>
                <w:szCs w:val="20"/>
                <w:color w:val="auto"/>
              </w:rPr>
            </w:pPr>
            <w:r>
              <w:rPr>
                <w:rFonts w:ascii="Arial" w:cs="Arial" w:eastAsia="Arial" w:hAnsi="Arial"/>
                <w:sz w:val="14"/>
                <w:szCs w:val="14"/>
                <w:b w:val="1"/>
                <w:bCs w:val="1"/>
                <w:color w:val="auto"/>
              </w:rPr>
              <w:t>Description of Services</w:t>
            </w:r>
          </w:p>
        </w:tc>
        <w:tc>
          <w:tcPr>
            <w:tcW w:w="2180" w:type="dxa"/>
            <w:vAlign w:val="bottom"/>
            <w:tcBorders>
              <w:top w:val="single" w:sz="8" w:color="auto"/>
              <w:right w:val="single" w:sz="8" w:color="auto"/>
            </w:tcBorders>
            <w:vMerge w:val="restart"/>
            <w:shd w:val="clear" w:color="auto" w:fill="8DB3E2"/>
          </w:tcPr>
          <w:p>
            <w:pPr>
              <w:ind w:left="380"/>
              <w:spacing w:after="0"/>
              <w:rPr>
                <w:sz w:val="20"/>
                <w:szCs w:val="20"/>
                <w:color w:val="auto"/>
              </w:rPr>
            </w:pPr>
            <w:r>
              <w:rPr>
                <w:rFonts w:ascii="Arial" w:cs="Arial" w:eastAsia="Arial" w:hAnsi="Arial"/>
                <w:sz w:val="14"/>
                <w:szCs w:val="14"/>
                <w:b w:val="1"/>
                <w:bCs w:val="1"/>
                <w:color w:val="auto"/>
              </w:rPr>
              <w:t>Additional Information</w:t>
            </w:r>
          </w:p>
        </w:tc>
        <w:tc>
          <w:tcPr>
            <w:tcW w:w="1220" w:type="dxa"/>
            <w:vAlign w:val="bottom"/>
            <w:tcBorders>
              <w:top w:val="single" w:sz="8" w:color="auto"/>
              <w:right w:val="single" w:sz="8" w:color="auto"/>
            </w:tcBorders>
            <w:vMerge w:val="restart"/>
            <w:shd w:val="clear" w:color="auto" w:fill="8DB3E2"/>
          </w:tcPr>
          <w:p>
            <w:pPr>
              <w:ind w:left="180"/>
              <w:spacing w:after="0"/>
              <w:rPr>
                <w:sz w:val="20"/>
                <w:szCs w:val="20"/>
                <w:color w:val="auto"/>
              </w:rPr>
            </w:pPr>
            <w:r>
              <w:rPr>
                <w:rFonts w:ascii="Arial" w:cs="Arial" w:eastAsia="Arial" w:hAnsi="Arial"/>
                <w:sz w:val="14"/>
                <w:szCs w:val="14"/>
                <w:b w:val="1"/>
                <w:bCs w:val="1"/>
                <w:color w:val="auto"/>
              </w:rPr>
              <w:t>Expense Type</w:t>
            </w:r>
          </w:p>
        </w:tc>
        <w:tc>
          <w:tcPr>
            <w:tcW w:w="1600" w:type="dxa"/>
            <w:vAlign w:val="bottom"/>
            <w:tcBorders>
              <w:top w:val="single" w:sz="8" w:color="auto"/>
              <w:right w:val="single" w:sz="8" w:color="auto"/>
            </w:tcBorders>
            <w:vMerge w:val="restart"/>
            <w:shd w:val="clear" w:color="auto" w:fill="8DB3E2"/>
          </w:tcPr>
          <w:p>
            <w:pPr>
              <w:ind w:left="40"/>
              <w:spacing w:after="0"/>
              <w:rPr>
                <w:sz w:val="20"/>
                <w:szCs w:val="20"/>
                <w:color w:val="auto"/>
              </w:rPr>
            </w:pPr>
            <w:r>
              <w:rPr>
                <w:rFonts w:ascii="Arial" w:cs="Arial" w:eastAsia="Arial" w:hAnsi="Arial"/>
                <w:sz w:val="14"/>
                <w:szCs w:val="14"/>
                <w:b w:val="1"/>
                <w:bCs w:val="1"/>
                <w:color w:val="auto"/>
              </w:rPr>
              <w:t>Service Fee</w:t>
            </w:r>
          </w:p>
        </w:tc>
        <w:tc>
          <w:tcPr>
            <w:tcW w:w="1740" w:type="dxa"/>
            <w:vAlign w:val="bottom"/>
            <w:tcBorders>
              <w:top w:val="single" w:sz="8" w:color="auto"/>
              <w:right w:val="single" w:sz="8" w:color="auto"/>
            </w:tcBorders>
            <w:shd w:val="clear" w:color="auto" w:fill="8DB3E2"/>
          </w:tcPr>
          <w:p>
            <w:pPr>
              <w:ind w:left="40"/>
              <w:spacing w:after="0" w:line="154" w:lineRule="exact"/>
              <w:rPr>
                <w:sz w:val="20"/>
                <w:szCs w:val="20"/>
                <w:color w:val="auto"/>
              </w:rPr>
            </w:pPr>
            <w:r>
              <w:rPr>
                <w:rFonts w:ascii="Arial" w:cs="Arial" w:eastAsia="Arial" w:hAnsi="Arial"/>
                <w:sz w:val="14"/>
                <w:szCs w:val="14"/>
                <w:b w:val="1"/>
                <w:bCs w:val="1"/>
                <w:color w:val="auto"/>
              </w:rPr>
              <w:t>Dependencies</w:t>
            </w:r>
          </w:p>
        </w:tc>
        <w:tc>
          <w:tcPr>
            <w:tcW w:w="0" w:type="dxa"/>
            <w:vAlign w:val="bottom"/>
          </w:tcPr>
          <w:p>
            <w:pPr>
              <w:spacing w:after="0"/>
              <w:rPr>
                <w:sz w:val="1"/>
                <w:szCs w:val="1"/>
                <w:color w:val="auto"/>
              </w:rPr>
            </w:pPr>
          </w:p>
        </w:tc>
      </w:tr>
      <w:tr>
        <w:trPr>
          <w:trHeight w:val="91"/>
        </w:trPr>
        <w:tc>
          <w:tcPr>
            <w:tcW w:w="520" w:type="dxa"/>
            <w:vAlign w:val="bottom"/>
            <w:tcBorders>
              <w:left w:val="single" w:sz="8" w:color="auto"/>
              <w:right w:val="single" w:sz="8" w:color="auto"/>
            </w:tcBorders>
            <w:vMerge w:val="continue"/>
            <w:shd w:val="clear" w:color="auto" w:fill="8DB3E2"/>
          </w:tcPr>
          <w:p>
            <w:pPr>
              <w:spacing w:after="0"/>
              <w:rPr>
                <w:sz w:val="7"/>
                <w:szCs w:val="7"/>
                <w:color w:val="auto"/>
              </w:rPr>
            </w:pPr>
          </w:p>
        </w:tc>
        <w:tc>
          <w:tcPr>
            <w:tcW w:w="1220" w:type="dxa"/>
            <w:vAlign w:val="bottom"/>
            <w:tcBorders>
              <w:right w:val="single" w:sz="8" w:color="auto"/>
            </w:tcBorders>
            <w:shd w:val="clear" w:color="auto" w:fill="8DB3E2"/>
          </w:tcPr>
          <w:p>
            <w:pPr>
              <w:spacing w:after="0"/>
              <w:rPr>
                <w:sz w:val="7"/>
                <w:szCs w:val="7"/>
                <w:color w:val="auto"/>
              </w:rPr>
            </w:pPr>
          </w:p>
        </w:tc>
        <w:tc>
          <w:tcPr>
            <w:tcW w:w="2820" w:type="dxa"/>
            <w:vAlign w:val="bottom"/>
            <w:tcBorders>
              <w:right w:val="single" w:sz="8" w:color="auto"/>
            </w:tcBorders>
            <w:vMerge w:val="continue"/>
            <w:shd w:val="clear" w:color="auto" w:fill="8DB3E2"/>
          </w:tcPr>
          <w:p>
            <w:pPr>
              <w:spacing w:after="0"/>
              <w:rPr>
                <w:sz w:val="7"/>
                <w:szCs w:val="7"/>
                <w:color w:val="auto"/>
              </w:rPr>
            </w:pPr>
          </w:p>
        </w:tc>
        <w:tc>
          <w:tcPr>
            <w:tcW w:w="2180" w:type="dxa"/>
            <w:vAlign w:val="bottom"/>
            <w:tcBorders>
              <w:right w:val="single" w:sz="8" w:color="auto"/>
            </w:tcBorders>
            <w:vMerge w:val="continue"/>
            <w:shd w:val="clear" w:color="auto" w:fill="8DB3E2"/>
          </w:tcPr>
          <w:p>
            <w:pPr>
              <w:spacing w:after="0"/>
              <w:rPr>
                <w:sz w:val="7"/>
                <w:szCs w:val="7"/>
                <w:color w:val="auto"/>
              </w:rPr>
            </w:pPr>
          </w:p>
        </w:tc>
        <w:tc>
          <w:tcPr>
            <w:tcW w:w="1220" w:type="dxa"/>
            <w:vAlign w:val="bottom"/>
            <w:tcBorders>
              <w:right w:val="single" w:sz="8" w:color="auto"/>
            </w:tcBorders>
            <w:vMerge w:val="continue"/>
            <w:shd w:val="clear" w:color="auto" w:fill="8DB3E2"/>
          </w:tcPr>
          <w:p>
            <w:pPr>
              <w:spacing w:after="0"/>
              <w:rPr>
                <w:sz w:val="7"/>
                <w:szCs w:val="7"/>
                <w:color w:val="auto"/>
              </w:rPr>
            </w:pPr>
          </w:p>
        </w:tc>
        <w:tc>
          <w:tcPr>
            <w:tcW w:w="1600" w:type="dxa"/>
            <w:vAlign w:val="bottom"/>
            <w:tcBorders>
              <w:right w:val="single" w:sz="8" w:color="auto"/>
            </w:tcBorders>
            <w:vMerge w:val="continue"/>
            <w:shd w:val="clear" w:color="auto" w:fill="8DB3E2"/>
          </w:tcPr>
          <w:p>
            <w:pPr>
              <w:spacing w:after="0"/>
              <w:rPr>
                <w:sz w:val="7"/>
                <w:szCs w:val="7"/>
                <w:color w:val="auto"/>
              </w:rPr>
            </w:pPr>
          </w:p>
        </w:tc>
        <w:tc>
          <w:tcPr>
            <w:tcW w:w="1740" w:type="dxa"/>
            <w:vAlign w:val="bottom"/>
            <w:tcBorders>
              <w:right w:val="single" w:sz="8" w:color="auto"/>
            </w:tcBorders>
            <w:vMerge w:val="restart"/>
            <w:shd w:val="clear" w:color="auto" w:fill="8DB3E2"/>
          </w:tcPr>
          <w:p>
            <w:pPr>
              <w:ind w:left="40"/>
              <w:spacing w:after="0"/>
              <w:rPr>
                <w:sz w:val="20"/>
                <w:szCs w:val="20"/>
                <w:color w:val="auto"/>
              </w:rPr>
            </w:pPr>
            <w:r>
              <w:rPr>
                <w:rFonts w:ascii="Arial" w:cs="Arial" w:eastAsia="Arial" w:hAnsi="Arial"/>
                <w:sz w:val="14"/>
                <w:szCs w:val="14"/>
                <w:b w:val="1"/>
                <w:bCs w:val="1"/>
                <w:color w:val="auto"/>
              </w:rPr>
              <w:t>(Note Service #)</w:t>
            </w:r>
          </w:p>
        </w:tc>
        <w:tc>
          <w:tcPr>
            <w:tcW w:w="0" w:type="dxa"/>
            <w:vAlign w:val="bottom"/>
          </w:tcPr>
          <w:p>
            <w:pPr>
              <w:spacing w:after="0"/>
              <w:rPr>
                <w:sz w:val="1"/>
                <w:szCs w:val="1"/>
                <w:color w:val="auto"/>
              </w:rPr>
            </w:pPr>
          </w:p>
        </w:tc>
      </w:tr>
      <w:tr>
        <w:trPr>
          <w:trHeight w:val="73"/>
        </w:trPr>
        <w:tc>
          <w:tcPr>
            <w:tcW w:w="520" w:type="dxa"/>
            <w:vAlign w:val="bottom"/>
            <w:tcBorders>
              <w:left w:val="single" w:sz="8" w:color="auto"/>
              <w:bottom w:val="single" w:sz="8" w:color="auto"/>
              <w:right w:val="single" w:sz="8" w:color="auto"/>
            </w:tcBorders>
            <w:shd w:val="clear" w:color="auto" w:fill="8DB3E2"/>
          </w:tcPr>
          <w:p>
            <w:pPr>
              <w:spacing w:after="0"/>
              <w:rPr>
                <w:sz w:val="6"/>
                <w:szCs w:val="6"/>
                <w:color w:val="auto"/>
              </w:rPr>
            </w:pPr>
          </w:p>
        </w:tc>
        <w:tc>
          <w:tcPr>
            <w:tcW w:w="1220" w:type="dxa"/>
            <w:vAlign w:val="bottom"/>
            <w:tcBorders>
              <w:bottom w:val="single" w:sz="8" w:color="auto"/>
              <w:right w:val="single" w:sz="8" w:color="auto"/>
            </w:tcBorders>
            <w:shd w:val="clear" w:color="auto" w:fill="8DB3E2"/>
          </w:tcPr>
          <w:p>
            <w:pPr>
              <w:spacing w:after="0"/>
              <w:rPr>
                <w:sz w:val="6"/>
                <w:szCs w:val="6"/>
                <w:color w:val="auto"/>
              </w:rPr>
            </w:pPr>
          </w:p>
        </w:tc>
        <w:tc>
          <w:tcPr>
            <w:tcW w:w="2820" w:type="dxa"/>
            <w:vAlign w:val="bottom"/>
            <w:tcBorders>
              <w:bottom w:val="single" w:sz="8" w:color="auto"/>
              <w:right w:val="single" w:sz="8" w:color="auto"/>
            </w:tcBorders>
            <w:shd w:val="clear" w:color="auto" w:fill="8DB3E2"/>
          </w:tcPr>
          <w:p>
            <w:pPr>
              <w:spacing w:after="0"/>
              <w:rPr>
                <w:sz w:val="6"/>
                <w:szCs w:val="6"/>
                <w:color w:val="auto"/>
              </w:rPr>
            </w:pPr>
          </w:p>
        </w:tc>
        <w:tc>
          <w:tcPr>
            <w:tcW w:w="2180" w:type="dxa"/>
            <w:vAlign w:val="bottom"/>
            <w:tcBorders>
              <w:bottom w:val="single" w:sz="8" w:color="auto"/>
              <w:right w:val="single" w:sz="8" w:color="auto"/>
            </w:tcBorders>
            <w:shd w:val="clear" w:color="auto" w:fill="8DB3E2"/>
          </w:tcPr>
          <w:p>
            <w:pPr>
              <w:spacing w:after="0"/>
              <w:rPr>
                <w:sz w:val="6"/>
                <w:szCs w:val="6"/>
                <w:color w:val="auto"/>
              </w:rPr>
            </w:pPr>
          </w:p>
        </w:tc>
        <w:tc>
          <w:tcPr>
            <w:tcW w:w="1220" w:type="dxa"/>
            <w:vAlign w:val="bottom"/>
            <w:tcBorders>
              <w:bottom w:val="single" w:sz="8" w:color="auto"/>
              <w:right w:val="single" w:sz="8" w:color="auto"/>
            </w:tcBorders>
            <w:shd w:val="clear" w:color="auto" w:fill="8DB3E2"/>
          </w:tcPr>
          <w:p>
            <w:pPr>
              <w:spacing w:after="0"/>
              <w:rPr>
                <w:sz w:val="6"/>
                <w:szCs w:val="6"/>
                <w:color w:val="auto"/>
              </w:rPr>
            </w:pPr>
          </w:p>
        </w:tc>
        <w:tc>
          <w:tcPr>
            <w:tcW w:w="1600" w:type="dxa"/>
            <w:vAlign w:val="bottom"/>
            <w:tcBorders>
              <w:bottom w:val="single" w:sz="8" w:color="auto"/>
              <w:right w:val="single" w:sz="8" w:color="auto"/>
            </w:tcBorders>
            <w:shd w:val="clear" w:color="auto" w:fill="8DB3E2"/>
          </w:tcPr>
          <w:p>
            <w:pPr>
              <w:spacing w:after="0"/>
              <w:rPr>
                <w:sz w:val="6"/>
                <w:szCs w:val="6"/>
                <w:color w:val="auto"/>
              </w:rPr>
            </w:pPr>
          </w:p>
        </w:tc>
        <w:tc>
          <w:tcPr>
            <w:tcW w:w="1740" w:type="dxa"/>
            <w:vAlign w:val="bottom"/>
            <w:tcBorders>
              <w:bottom w:val="single" w:sz="8" w:color="auto"/>
              <w:right w:val="single" w:sz="8" w:color="auto"/>
            </w:tcBorders>
            <w:vMerge w:val="continue"/>
            <w:shd w:val="clear" w:color="auto" w:fill="8DB3E2"/>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5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520" w:type="dxa"/>
            <w:vAlign w:val="bottom"/>
            <w:tcBorders>
              <w:left w:val="single" w:sz="8" w:color="auto"/>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In the event that Company executes an Initial Public</w:t>
            </w:r>
          </w:p>
        </w:tc>
        <w:tc>
          <w:tcPr>
            <w:tcW w:w="21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0" w:type="dxa"/>
            <w:vAlign w:val="bottom"/>
            <w:tcBorders>
              <w:left w:val="single" w:sz="8" w:color="auto"/>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w w:val="95"/>
              </w:rPr>
              <w:t>Corporate Insurance</w:t>
            </w: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4"/>
              </w:rPr>
              <w:t>Offering, as and from the effective date of the IPO, GF</w:t>
            </w:r>
          </w:p>
        </w:tc>
        <w:tc>
          <w:tcPr>
            <w:tcW w:w="21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will not provide Company with administration or</w:t>
            </w:r>
          </w:p>
        </w:tc>
        <w:tc>
          <w:tcPr>
            <w:tcW w:w="218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NA</w:t>
            </w:r>
          </w:p>
        </w:tc>
        <w:tc>
          <w:tcPr>
            <w:tcW w:w="160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52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Program</w:t>
            </w:r>
          </w:p>
        </w:tc>
        <w:tc>
          <w:tcPr>
            <w:tcW w:w="2820" w:type="dxa"/>
            <w:vAlign w:val="bottom"/>
            <w:tcBorders>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coverage via GF’s Director and Officer Insurance</w:t>
            </w:r>
          </w:p>
        </w:tc>
        <w:tc>
          <w:tcPr>
            <w:tcW w:w="218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2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vMerge w:val="continue"/>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20" w:type="dxa"/>
            <w:vAlign w:val="bottom"/>
            <w:tcBorders>
              <w:left w:val="single" w:sz="8" w:color="auto"/>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Program</w:t>
            </w:r>
          </w:p>
        </w:tc>
        <w:tc>
          <w:tcPr>
            <w:tcW w:w="21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00"/>
          </w:cols>
          <w:pgMar w:left="300" w:top="1093" w:right="299" w:bottom="1440" w:gutter="0" w:footer="0" w:header="0"/>
        </w:sectPr>
      </w:pPr>
    </w:p>
    <w:bookmarkStart w:id="258" w:name="page259"/>
    <w:bookmarkEnd w:id="258"/>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ENACT HOLDINGS, INC.</w:t>
      </w:r>
    </w:p>
    <w:p>
      <w:pPr>
        <w:spacing w:after="0" w:line="72"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2021 OMNIBUS INCENTIVE PLAN</w:t>
      </w:r>
    </w:p>
    <w:p>
      <w:pPr>
        <w:spacing w:after="0" w:line="3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 Purpose of Plan.</w:t>
      </w:r>
    </w:p>
    <w:p>
      <w:pPr>
        <w:spacing w:after="0" w:line="66" w:lineRule="exact"/>
        <w:rPr>
          <w:sz w:val="20"/>
          <w:szCs w:val="20"/>
          <w:color w:val="auto"/>
        </w:rPr>
      </w:pPr>
    </w:p>
    <w:p>
      <w:pPr>
        <w:ind w:firstLine="575"/>
        <w:spacing w:after="0" w:line="222" w:lineRule="auto"/>
        <w:rPr>
          <w:sz w:val="20"/>
          <w:szCs w:val="20"/>
          <w:color w:val="auto"/>
        </w:rPr>
      </w:pPr>
      <w:r>
        <w:rPr>
          <w:rFonts w:ascii="Arial" w:cs="Arial" w:eastAsia="Arial" w:hAnsi="Arial"/>
          <w:sz w:val="16"/>
          <w:szCs w:val="16"/>
          <w:color w:val="auto"/>
        </w:rPr>
        <w:t>The name of the Plan is the Enact Holdings, Inc. 2021 Omnibus Incentive Plan. The purposes of the Plan are to provide an additional incentive to selected officers, employees, non- 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Stock Appreciation Rights, Restricted Stock, Restricted Stock Units (including Performance Stock Units), Stock Bonuses, Other Stock-Based Awards, Cash Awards or any combination of the foregoing.</w:t>
      </w:r>
    </w:p>
    <w:p>
      <w:pPr>
        <w:spacing w:after="0" w:line="3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 Definitions.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purposes of the Plan, the following terms shall be defined as set forth below:</w:t>
      </w:r>
    </w:p>
    <w:p>
      <w:pPr>
        <w:spacing w:after="0" w:line="62" w:lineRule="exact"/>
        <w:rPr>
          <w:sz w:val="20"/>
          <w:szCs w:val="20"/>
          <w:color w:val="auto"/>
        </w:rPr>
      </w:pPr>
    </w:p>
    <w:p>
      <w:pPr>
        <w:ind w:left="480" w:hanging="232"/>
        <w:spacing w:after="0"/>
        <w:tabs>
          <w:tab w:leader="none" w:pos="480"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if and to the extent the Board does not administer the Plan, the Committee in accordance with Section 3 hereof.</w:t>
      </w:r>
    </w:p>
    <w:p>
      <w:pPr>
        <w:spacing w:after="0" w:line="62" w:lineRule="exact"/>
        <w:rPr>
          <w:rFonts w:ascii="Arial" w:cs="Arial" w:eastAsia="Arial" w:hAnsi="Arial"/>
          <w:sz w:val="15"/>
          <w:szCs w:val="15"/>
          <w:color w:val="auto"/>
        </w:rPr>
      </w:pPr>
    </w:p>
    <w:p>
      <w:pPr>
        <w:ind w:left="500" w:hanging="252"/>
        <w:spacing w:after="0" w:line="245" w:lineRule="auto"/>
        <w:tabs>
          <w:tab w:leader="none" w:pos="491"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 Person that directly, or indirectly through one or more intermediaries, controls, or is controlled by, or is under common control with, the Person specified.</w:t>
      </w:r>
    </w:p>
    <w:p>
      <w:pPr>
        <w:spacing w:after="0" w:line="34" w:lineRule="exact"/>
        <w:rPr>
          <w:rFonts w:ascii="Arial" w:cs="Arial" w:eastAsia="Arial" w:hAnsi="Arial"/>
          <w:sz w:val="15"/>
          <w:szCs w:val="15"/>
          <w:color w:val="auto"/>
        </w:rPr>
      </w:pPr>
    </w:p>
    <w:p>
      <w:pPr>
        <w:ind w:left="500" w:right="40" w:hanging="252"/>
        <w:spacing w:after="0" w:line="245" w:lineRule="auto"/>
        <w:tabs>
          <w:tab w:leader="none" w:pos="493"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Option, Stock Appreciation Right, Restricted Stock, Restricted Stock Unit (including any Performance Stock Unit), Stock Bonus, Other Stock-Based Award or Cash Award granted under the Plan.</w:t>
      </w:r>
    </w:p>
    <w:p>
      <w:pPr>
        <w:spacing w:after="0" w:line="34" w:lineRule="exact"/>
        <w:rPr>
          <w:rFonts w:ascii="Arial" w:cs="Arial" w:eastAsia="Arial" w:hAnsi="Arial"/>
          <w:sz w:val="15"/>
          <w:szCs w:val="15"/>
          <w:color w:val="auto"/>
        </w:rPr>
      </w:pPr>
    </w:p>
    <w:p>
      <w:pPr>
        <w:ind w:left="500" w:right="100" w:hanging="252"/>
        <w:spacing w:after="0" w:line="228" w:lineRule="auto"/>
        <w:tabs>
          <w:tab w:leader="none" w:pos="491"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any written or electronic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49" w:lineRule="exact"/>
        <w:rPr>
          <w:rFonts w:ascii="Arial" w:cs="Arial" w:eastAsia="Arial" w:hAnsi="Arial"/>
          <w:sz w:val="15"/>
          <w:szCs w:val="15"/>
          <w:color w:val="auto"/>
        </w:rPr>
      </w:pPr>
    </w:p>
    <w:p>
      <w:pPr>
        <w:ind w:left="480" w:hanging="232"/>
        <w:spacing w:after="0"/>
        <w:tabs>
          <w:tab w:leader="none" w:pos="480"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Price</w:t>
      </w:r>
      <w:r>
        <w:rPr>
          <w:rFonts w:ascii="Arial" w:cs="Arial" w:eastAsia="Arial" w:hAnsi="Arial"/>
          <w:sz w:val="16"/>
          <w:szCs w:val="16"/>
          <w:color w:val="auto"/>
        </w:rPr>
        <w:t>” has the meaning set forth in Section 8(b) hereof.</w:t>
      </w:r>
    </w:p>
    <w:p>
      <w:pPr>
        <w:spacing w:after="0" w:line="62" w:lineRule="exact"/>
        <w:rPr>
          <w:rFonts w:ascii="Arial" w:cs="Arial" w:eastAsia="Arial" w:hAnsi="Arial"/>
          <w:sz w:val="15"/>
          <w:szCs w:val="15"/>
          <w:color w:val="auto"/>
        </w:rPr>
      </w:pPr>
    </w:p>
    <w:p>
      <w:pPr>
        <w:ind w:left="500" w:hanging="252"/>
        <w:spacing w:after="0"/>
        <w:tabs>
          <w:tab w:leader="none" w:pos="500"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(or any variant thereof) has the meaning defined in Rule 13d-3 under the Exchange Act.</w:t>
      </w:r>
    </w:p>
    <w:p>
      <w:pPr>
        <w:spacing w:after="0" w:line="72" w:lineRule="exact"/>
        <w:rPr>
          <w:rFonts w:ascii="Arial" w:cs="Arial" w:eastAsia="Arial" w:hAnsi="Arial"/>
          <w:sz w:val="15"/>
          <w:szCs w:val="15"/>
          <w:color w:val="auto"/>
        </w:rPr>
      </w:pPr>
    </w:p>
    <w:p>
      <w:pPr>
        <w:ind w:left="480" w:hanging="232"/>
        <w:spacing w:after="0"/>
        <w:tabs>
          <w:tab w:leader="none" w:pos="480"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62" w:lineRule="exact"/>
        <w:rPr>
          <w:rFonts w:ascii="Arial" w:cs="Arial" w:eastAsia="Arial" w:hAnsi="Arial"/>
          <w:sz w:val="15"/>
          <w:szCs w:val="15"/>
          <w:color w:val="auto"/>
        </w:rPr>
      </w:pPr>
    </w:p>
    <w:p>
      <w:pPr>
        <w:ind w:left="480" w:hanging="232"/>
        <w:spacing w:after="0"/>
        <w:tabs>
          <w:tab w:leader="none" w:pos="480"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amended and restated bylaws of the Company, as may be further amended and/or restated from time to time.</w:t>
      </w:r>
    </w:p>
    <w:p>
      <w:pPr>
        <w:spacing w:after="0" w:line="72" w:lineRule="exact"/>
        <w:rPr>
          <w:rFonts w:ascii="Arial" w:cs="Arial" w:eastAsia="Arial" w:hAnsi="Arial"/>
          <w:sz w:val="15"/>
          <w:szCs w:val="15"/>
          <w:color w:val="auto"/>
        </w:rPr>
      </w:pPr>
    </w:p>
    <w:p>
      <w:pPr>
        <w:ind w:left="500" w:hanging="252"/>
        <w:spacing w:after="0"/>
        <w:tabs>
          <w:tab w:leader="none" w:pos="500"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Award</w:t>
      </w:r>
      <w:r>
        <w:rPr>
          <w:rFonts w:ascii="Arial" w:cs="Arial" w:eastAsia="Arial" w:hAnsi="Arial"/>
          <w:sz w:val="16"/>
          <w:szCs w:val="16"/>
          <w:color w:val="auto"/>
        </w:rPr>
        <w:t>” means an Award granted pursuant to Section 12 hereof.</w:t>
      </w:r>
    </w:p>
    <w:p>
      <w:pPr>
        <w:spacing w:after="0" w:line="328" w:lineRule="exact"/>
        <w:rPr>
          <w:rFonts w:ascii="Arial" w:cs="Arial" w:eastAsia="Arial" w:hAnsi="Arial"/>
          <w:sz w:val="15"/>
          <w:szCs w:val="15"/>
          <w:color w:val="auto"/>
        </w:rPr>
      </w:pPr>
    </w:p>
    <w:p>
      <w:pPr>
        <w:ind w:left="500" w:right="840" w:hanging="252"/>
        <w:spacing w:after="0" w:line="245" w:lineRule="auto"/>
        <w:tabs>
          <w:tab w:leader="none" w:pos="498" w:val="left"/>
        </w:tabs>
        <w:numPr>
          <w:ilvl w:val="0"/>
          <w:numId w:val="150"/>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has the meaning assigned to such term in the Award Agreement or in any individual employment, service or severance agreement (“</w:t>
      </w:r>
      <w:r>
        <w:rPr>
          <w:rFonts w:ascii="Arial" w:cs="Arial" w:eastAsia="Arial" w:hAnsi="Arial"/>
          <w:sz w:val="16"/>
          <w:szCs w:val="16"/>
          <w:u w:val="single" w:color="auto"/>
          <w:color w:val="auto"/>
        </w:rPr>
        <w:t>Individual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the Participant or, if any such Award Agreement or Individual Agreement does not define</w:t>
      </w:r>
    </w:p>
    <w:p>
      <w:pPr>
        <w:sectPr>
          <w:pgSz w:w="11900" w:h="16838" w:orient="portrait"/>
          <w:cols w:equalWidth="0" w:num="1">
            <w:col w:w="11280"/>
          </w:cols>
          <w:pgMar w:left="300" w:top="129" w:right="319" w:bottom="1440" w:gutter="0" w:footer="0" w:header="0"/>
        </w:sectPr>
      </w:pPr>
    </w:p>
    <w:bookmarkStart w:id="259" w:name="page260"/>
    <w:bookmarkEnd w:id="259"/>
    <w:p>
      <w:pPr>
        <w:ind w:left="252"/>
        <w:spacing w:after="0" w:line="23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Cause means (i) the commission of an act of fraud or dishonesty by the Participant in the course of the Participant’s employment or service; (ii) the indictment of, or conviction of, or entering of a plea of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performance of the Participant’s duties in connection with the Participant’s employment by or service to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provided 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 (vi) 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42" w:lineRule="exact"/>
        <w:rPr>
          <w:sz w:val="20"/>
          <w:szCs w:val="20"/>
          <w:color w:val="auto"/>
        </w:rPr>
      </w:pPr>
    </w:p>
    <w:p>
      <w:pPr>
        <w:ind w:left="252" w:right="60" w:hanging="252"/>
        <w:spacing w:after="0" w:line="245" w:lineRule="auto"/>
        <w:tabs>
          <w:tab w:leader="none" w:pos="242" w:val="left"/>
        </w:tabs>
        <w:numPr>
          <w:ilvl w:val="0"/>
          <w:numId w:val="151"/>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means the amended and restated certificate of incorporation of the Company, as may be further amended and/or restated from time to time.</w:t>
      </w:r>
    </w:p>
    <w:p>
      <w:pPr>
        <w:spacing w:after="0" w:line="34" w:lineRule="exact"/>
        <w:rPr>
          <w:rFonts w:ascii="Arial" w:cs="Arial" w:eastAsia="Arial" w:hAnsi="Arial"/>
          <w:sz w:val="15"/>
          <w:szCs w:val="15"/>
          <w:color w:val="auto"/>
        </w:rPr>
      </w:pPr>
    </w:p>
    <w:p>
      <w:pPr>
        <w:ind w:left="252" w:right="20" w:hanging="252"/>
        <w:spacing w:after="0" w:line="244" w:lineRule="auto"/>
        <w:tabs>
          <w:tab w:leader="none" w:pos="250" w:val="left"/>
        </w:tabs>
        <w:numPr>
          <w:ilvl w:val="0"/>
          <w:numId w:val="151"/>
        </w:numPr>
        <w:rPr>
          <w:rFonts w:ascii="Arial" w:cs="Arial" w:eastAsia="Arial" w:hAnsi="Arial"/>
          <w:sz w:val="14"/>
          <w:szCs w:val="14"/>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Capitalization</w:t>
      </w:r>
      <w:r>
        <w:rPr>
          <w:rFonts w:ascii="Arial" w:cs="Arial" w:eastAsia="Arial" w:hAnsi="Arial"/>
          <w:sz w:val="15"/>
          <w:szCs w:val="15"/>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 (iii) combination or exchange of shares; or (iv) other change in corporate structure, which, in any such case, the Administrator determines, in its sole discretion, affects the Common Stock such that an adjustment pursuant to Section 5 hereof is appropriate.</w:t>
      </w:r>
    </w:p>
    <w:p>
      <w:pPr>
        <w:spacing w:after="0" w:line="37" w:lineRule="exact"/>
        <w:rPr>
          <w:rFonts w:ascii="Arial" w:cs="Arial" w:eastAsia="Arial" w:hAnsi="Arial"/>
          <w:sz w:val="14"/>
          <w:szCs w:val="14"/>
          <w:color w:val="auto"/>
        </w:rPr>
      </w:pPr>
    </w:p>
    <w:p>
      <w:pPr>
        <w:ind w:left="232" w:hanging="232"/>
        <w:spacing w:after="0"/>
        <w:tabs>
          <w:tab w:leader="none" w:pos="232" w:val="left"/>
        </w:tabs>
        <w:numPr>
          <w:ilvl w:val="0"/>
          <w:numId w:val="151"/>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an event set forth in any one of the following paragraphs shall have occurred:</w:t>
      </w:r>
    </w:p>
    <w:p>
      <w:pPr>
        <w:spacing w:after="0" w:line="62" w:lineRule="exact"/>
        <w:rPr>
          <w:rFonts w:ascii="Arial" w:cs="Arial" w:eastAsia="Arial" w:hAnsi="Arial"/>
          <w:sz w:val="15"/>
          <w:szCs w:val="15"/>
          <w:color w:val="auto"/>
        </w:rPr>
      </w:pPr>
    </w:p>
    <w:p>
      <w:pPr>
        <w:ind w:left="732" w:right="120" w:hanging="239"/>
        <w:spacing w:after="0" w:line="225" w:lineRule="auto"/>
        <w:tabs>
          <w:tab w:leader="none" w:pos="73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Person (or any group of Persons acting together which would constitute a “group” for purposes of Section 13(d) of the Exchange Act), excluding any GFI Entity or any group of GFI Entities,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excluding any Person who becomes such a Beneficial Owner in connection with a transaction described in clause (I) of paragraph (3) below;</w:t>
      </w:r>
    </w:p>
    <w:p>
      <w:pPr>
        <w:spacing w:after="0" w:line="306" w:lineRule="exact"/>
        <w:rPr>
          <w:rFonts w:ascii="Arial" w:cs="Arial" w:eastAsia="Arial" w:hAnsi="Arial"/>
          <w:sz w:val="16"/>
          <w:szCs w:val="16"/>
          <w:color w:val="auto"/>
        </w:rPr>
      </w:pPr>
    </w:p>
    <w:p>
      <w:pPr>
        <w:ind w:left="732" w:right="40" w:hanging="239"/>
        <w:spacing w:after="0" w:line="233" w:lineRule="auto"/>
        <w:tabs>
          <w:tab w:leader="none" w:pos="65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w:t>
      </w:r>
    </w:p>
    <w:p>
      <w:pPr>
        <w:sectPr>
          <w:pgSz w:w="11900" w:h="16838" w:orient="portrait"/>
          <w:cols w:equalWidth="0" w:num="1">
            <w:col w:w="11032"/>
          </w:cols>
          <w:pgMar w:left="548" w:top="1138" w:right="319" w:bottom="1440" w:gutter="0" w:footer="0" w:header="0"/>
        </w:sectPr>
      </w:pPr>
    </w:p>
    <w:bookmarkStart w:id="260" w:name="page261"/>
    <w:bookmarkEnd w:id="260"/>
    <w:p>
      <w:pPr>
        <w:ind w:left="239" w:right="180"/>
        <w:spacing w:after="0" w:line="228" w:lineRule="auto"/>
        <w:rPr>
          <w:sz w:val="20"/>
          <w:szCs w:val="20"/>
          <w:color w:val="auto"/>
        </w:rPr>
      </w:pPr>
      <w:r>
        <w:rPr>
          <w:rFonts w:ascii="Arial" w:cs="Arial" w:eastAsia="Arial" w:hAnsi="Arial"/>
          <w:sz w:val="16"/>
          <w:szCs w:val="16"/>
          <w:color w:val="auto"/>
        </w:rPr>
        <w:t>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39" w:lineRule="exact"/>
        <w:rPr>
          <w:sz w:val="20"/>
          <w:szCs w:val="20"/>
          <w:color w:val="auto"/>
        </w:rPr>
      </w:pPr>
    </w:p>
    <w:p>
      <w:pPr>
        <w:ind w:left="239" w:right="40" w:hanging="239"/>
        <w:spacing w:after="0" w:line="233" w:lineRule="auto"/>
        <w:tabs>
          <w:tab w:leader="none" w:pos="157"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or</w:t>
      </w:r>
    </w:p>
    <w:p>
      <w:pPr>
        <w:spacing w:after="0" w:line="45" w:lineRule="exact"/>
        <w:rPr>
          <w:rFonts w:ascii="Arial" w:cs="Arial" w:eastAsia="Arial" w:hAnsi="Arial"/>
          <w:sz w:val="15"/>
          <w:szCs w:val="15"/>
          <w:color w:val="auto"/>
        </w:rPr>
      </w:pPr>
    </w:p>
    <w:p>
      <w:pPr>
        <w:ind w:left="239" w:hanging="239"/>
        <w:spacing w:after="0" w:line="222" w:lineRule="auto"/>
        <w:tabs>
          <w:tab w:leader="none" w:pos="15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40" w:lineRule="exact"/>
        <w:rPr>
          <w:sz w:val="20"/>
          <w:szCs w:val="20"/>
          <w:color w:val="auto"/>
        </w:rPr>
      </w:pPr>
    </w:p>
    <w:p>
      <w:pPr>
        <w:ind w:left="239" w:right="80"/>
        <w:spacing w:after="0" w:line="238" w:lineRule="auto"/>
        <w:rPr>
          <w:sz w:val="20"/>
          <w:szCs w:val="20"/>
          <w:color w:val="auto"/>
        </w:rPr>
      </w:pPr>
      <w:r>
        <w:rPr>
          <w:rFonts w:ascii="Arial" w:cs="Arial" w:eastAsia="Arial" w:hAnsi="Arial"/>
          <w:sz w:val="15"/>
          <w:szCs w:val="15"/>
          <w:color w:val="auto"/>
        </w:rPr>
        <w:t>Notwithstanding the foregoing, (i) a Change in Control shall not be deemed to have occurred as a result of any transaction or series of integrated transactions following which any GFI Entity (or any group of GFI Entities) possesses, directly or indirectly, the power to direct or cause the direction of the management and policies of the Company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Company and (ii) for each Award that constitutes deferred compensation under Section 409A of the Code, and to the extent required to avoid accelerated taxation and/or tax penalties</w:t>
      </w:r>
    </w:p>
    <w:p>
      <w:pPr>
        <w:sectPr>
          <w:pgSz w:w="11900" w:h="16838" w:orient="portrait"/>
          <w:cols w:equalWidth="0" w:num="1">
            <w:col w:w="10539"/>
          </w:cols>
          <w:pgMar w:left="1041" w:top="1139" w:right="319" w:bottom="1440" w:gutter="0" w:footer="0" w:header="0"/>
        </w:sectPr>
      </w:pPr>
    </w:p>
    <w:bookmarkStart w:id="261" w:name="page262"/>
    <w:bookmarkEnd w:id="261"/>
    <w:p>
      <w:pPr>
        <w:ind w:left="732" w:right="100"/>
        <w:spacing w:after="0" w:line="233" w:lineRule="auto"/>
        <w:rPr>
          <w:sz w:val="20"/>
          <w:szCs w:val="20"/>
          <w:color w:val="auto"/>
        </w:rPr>
      </w:pPr>
      <w:r>
        <w:rPr>
          <w:rFonts w:ascii="Arial" w:cs="Arial" w:eastAsia="Arial" w:hAnsi="Arial"/>
          <w:sz w:val="16"/>
          <w:szCs w:val="16"/>
          <w:color w:val="auto"/>
        </w:rPr>
        <w:t>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39" w:lineRule="exact"/>
        <w:rPr>
          <w:sz w:val="20"/>
          <w:szCs w:val="20"/>
          <w:color w:val="auto"/>
        </w:rPr>
      </w:pPr>
    </w:p>
    <w:p>
      <w:pPr>
        <w:ind w:left="232" w:hanging="232"/>
        <w:spacing w:after="0"/>
        <w:tabs>
          <w:tab w:leader="none" w:pos="23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or any successor thereto.</w:t>
      </w:r>
    </w:p>
    <w:p>
      <w:pPr>
        <w:spacing w:after="0" w:line="62" w:lineRule="exact"/>
        <w:rPr>
          <w:rFonts w:ascii="Arial" w:cs="Arial" w:eastAsia="Arial" w:hAnsi="Arial"/>
          <w:sz w:val="15"/>
          <w:szCs w:val="15"/>
          <w:color w:val="auto"/>
        </w:rPr>
      </w:pPr>
    </w:p>
    <w:p>
      <w:pPr>
        <w:ind w:left="252" w:right="160" w:hanging="252"/>
        <w:spacing w:after="0" w:line="223" w:lineRule="auto"/>
        <w:tabs>
          <w:tab w:leader="none" w:pos="24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Common Stock is traded. If at any time or to any extent the Board shall not administer the Plan, then the functions of the Administrator specified in the Plan shall be exercised by the Committee. Except as otherwise provided in the Certificate of Incorporation or Bylaws, any action of the Committee with respect to the administration of the Plan shall be taken by a majority vote at a meeting at which a quorum is duly constituted or unanimous written consent of the Committee’s members.</w:t>
      </w:r>
    </w:p>
    <w:p>
      <w:pPr>
        <w:spacing w:after="0" w:line="41" w:lineRule="exact"/>
        <w:rPr>
          <w:rFonts w:ascii="Arial" w:cs="Arial" w:eastAsia="Arial" w:hAnsi="Arial"/>
          <w:sz w:val="15"/>
          <w:szCs w:val="15"/>
          <w:color w:val="auto"/>
        </w:rPr>
      </w:pPr>
    </w:p>
    <w:p>
      <w:pPr>
        <w:ind w:left="232" w:hanging="232"/>
        <w:spacing w:after="0"/>
        <w:tabs>
          <w:tab w:leader="none" w:pos="23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$.01 par value per share, of the Company.</w:t>
      </w:r>
    </w:p>
    <w:p>
      <w:pPr>
        <w:spacing w:after="0" w:line="62" w:lineRule="exact"/>
        <w:rPr>
          <w:rFonts w:ascii="Arial" w:cs="Arial" w:eastAsia="Arial" w:hAnsi="Arial"/>
          <w:sz w:val="15"/>
          <w:szCs w:val="15"/>
          <w:color w:val="auto"/>
        </w:rPr>
      </w:pPr>
    </w:p>
    <w:p>
      <w:pPr>
        <w:ind w:left="252" w:right="80" w:hanging="252"/>
        <w:spacing w:after="0" w:line="245" w:lineRule="auto"/>
        <w:tabs>
          <w:tab w:leader="none" w:pos="24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Enact Holdings, Inc., a Delaware corporation (or any successor company, except as the term “Company” is used in the definition of “Change in Control” above).</w:t>
      </w:r>
    </w:p>
    <w:p>
      <w:pPr>
        <w:spacing w:after="0" w:line="34" w:lineRule="exact"/>
        <w:rPr>
          <w:rFonts w:ascii="Arial" w:cs="Arial" w:eastAsia="Arial" w:hAnsi="Arial"/>
          <w:sz w:val="15"/>
          <w:szCs w:val="15"/>
          <w:color w:val="auto"/>
        </w:rPr>
      </w:pPr>
    </w:p>
    <w:p>
      <w:pPr>
        <w:ind w:left="252" w:right="20" w:hanging="252"/>
        <w:spacing w:after="0" w:line="222" w:lineRule="auto"/>
        <w:tabs>
          <w:tab w:leader="none" w:pos="248"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has the meaning assigned to such term in the Award Agreement or in any Individual Agreement with the Participant or, if any such Award Agreement or Individual Agreement does not define “Disability,” Disability means, with respect to any Participant, that such Participant, as determined by the Administrator in its sole discretion, is (i) 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49" w:lineRule="exact"/>
        <w:rPr>
          <w:rFonts w:ascii="Arial" w:cs="Arial" w:eastAsia="Arial" w:hAnsi="Arial"/>
          <w:sz w:val="15"/>
          <w:szCs w:val="15"/>
          <w:color w:val="auto"/>
        </w:rPr>
      </w:pPr>
    </w:p>
    <w:p>
      <w:pPr>
        <w:ind w:left="232" w:hanging="232"/>
        <w:spacing w:after="0"/>
        <w:tabs>
          <w:tab w:leader="none" w:pos="23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set forth in Section 20 hereof.</w:t>
      </w:r>
    </w:p>
    <w:p>
      <w:pPr>
        <w:spacing w:after="0" w:line="62" w:lineRule="exact"/>
        <w:rPr>
          <w:rFonts w:ascii="Arial" w:cs="Arial" w:eastAsia="Arial" w:hAnsi="Arial"/>
          <w:sz w:val="15"/>
          <w:szCs w:val="15"/>
          <w:color w:val="auto"/>
        </w:rPr>
      </w:pPr>
    </w:p>
    <w:p>
      <w:pPr>
        <w:ind w:left="252" w:hanging="252"/>
        <w:spacing w:after="0" w:line="225" w:lineRule="auto"/>
        <w:tabs>
          <w:tab w:leader="none" w:pos="250"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Recipient</w:t>
      </w:r>
      <w:r>
        <w:rPr>
          <w:rFonts w:ascii="Arial" w:cs="Arial" w:eastAsia="Arial" w:hAnsi="Arial"/>
          <w:sz w:val="16"/>
          <w:szCs w:val="16"/>
          <w:color w:val="auto"/>
        </w:rPr>
        <w:t xml:space="preserve">” means an officer, employee, non-employee director, independent contractor or consultant of the Company or any Affiliate of the Company who has been selected as an eligible participant by the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required to avoid accelerated taxation and/or tax penalties under Section 409A of the Code, an Eligible Recipient of an Option or a Stock Appreciation Right means an employee, non- employee director, independent contractor or consultant of the Company or any Affiliate of the Company with respect to whom the Company is an “eligible issuer of service recipient stock” within the meaning of Section 409A of the Code.</w:t>
      </w:r>
    </w:p>
    <w:p>
      <w:pPr>
        <w:spacing w:after="0" w:line="40" w:lineRule="exact"/>
        <w:rPr>
          <w:rFonts w:ascii="Arial" w:cs="Arial" w:eastAsia="Arial" w:hAnsi="Arial"/>
          <w:sz w:val="15"/>
          <w:szCs w:val="15"/>
          <w:color w:val="auto"/>
        </w:rPr>
      </w:pPr>
    </w:p>
    <w:p>
      <w:pPr>
        <w:ind w:left="232" w:hanging="232"/>
        <w:spacing w:after="0"/>
        <w:tabs>
          <w:tab w:leader="none" w:pos="23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62" w:lineRule="exact"/>
        <w:rPr>
          <w:rFonts w:ascii="Arial" w:cs="Arial" w:eastAsia="Arial" w:hAnsi="Arial"/>
          <w:sz w:val="15"/>
          <w:szCs w:val="15"/>
          <w:color w:val="auto"/>
        </w:rPr>
      </w:pPr>
    </w:p>
    <w:p>
      <w:pPr>
        <w:ind w:left="252" w:hanging="252"/>
        <w:spacing w:after="0" w:line="245" w:lineRule="auto"/>
        <w:tabs>
          <w:tab w:leader="none" w:pos="242" w:val="left"/>
        </w:tabs>
        <w:numPr>
          <w:ilvl w:val="0"/>
          <w:numId w:val="153"/>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with respect to any Option, the per share price at which a holder of such Option may purchase such shares of Common Stock issuable upon the exercise of such Option.</w:t>
      </w:r>
    </w:p>
    <w:p>
      <w:pPr>
        <w:sectPr>
          <w:pgSz w:w="11900" w:h="16838" w:orient="portrait"/>
          <w:cols w:equalWidth="0" w:num="1">
            <w:col w:w="11032"/>
          </w:cols>
          <w:pgMar w:left="548" w:top="1138" w:right="319" w:bottom="1440" w:gutter="0" w:footer="0" w:header="0"/>
        </w:sectPr>
      </w:pPr>
    </w:p>
    <w:bookmarkStart w:id="262" w:name="page263"/>
    <w:bookmarkEnd w:id="262"/>
    <w:p>
      <w:pPr>
        <w:ind w:left="260" w:right="40" w:hanging="252"/>
        <w:spacing w:after="0" w:line="222" w:lineRule="auto"/>
        <w:tabs>
          <w:tab w:leader="none" w:pos="253" w:val="left"/>
        </w:tabs>
        <w:numPr>
          <w:ilvl w:val="0"/>
          <w:numId w:val="154"/>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of Common Stock or another security as of a particular date shall mean the fair market value as determined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determined by the Administrator,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or other security on such exchange, or (ii) if the Common Stock or other security is then traded in an over-the-counter market, the fair market value on any date shall be the average of the closing bid and asked prices for such share of Common Stock or other security in such over-the-counter market for the last preceding date on which there was a sale of such share of Common Stock or other security in such market.</w:t>
      </w:r>
    </w:p>
    <w:p>
      <w:pPr>
        <w:spacing w:after="0" w:line="49" w:lineRule="exact"/>
        <w:rPr>
          <w:rFonts w:ascii="Arial" w:cs="Arial" w:eastAsia="Arial" w:hAnsi="Arial"/>
          <w:sz w:val="15"/>
          <w:szCs w:val="15"/>
          <w:color w:val="auto"/>
        </w:rPr>
      </w:pPr>
    </w:p>
    <w:p>
      <w:pPr>
        <w:ind w:left="240" w:hanging="232"/>
        <w:spacing w:after="0"/>
        <w:tabs>
          <w:tab w:leader="none" w:pos="240" w:val="left"/>
        </w:tabs>
        <w:numPr>
          <w:ilvl w:val="0"/>
          <w:numId w:val="154"/>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 Standing Right</w:t>
      </w:r>
      <w:r>
        <w:rPr>
          <w:rFonts w:ascii="Arial" w:cs="Arial" w:eastAsia="Arial" w:hAnsi="Arial"/>
          <w:sz w:val="16"/>
          <w:szCs w:val="16"/>
          <w:color w:val="auto"/>
        </w:rPr>
        <w:t>” has the meaning set forth in Section 8(a) hereof.</w:t>
      </w:r>
    </w:p>
    <w:p>
      <w:pPr>
        <w:spacing w:after="0" w:line="62" w:lineRule="exact"/>
        <w:rPr>
          <w:rFonts w:ascii="Arial" w:cs="Arial" w:eastAsia="Arial" w:hAnsi="Arial"/>
          <w:sz w:val="15"/>
          <w:szCs w:val="15"/>
          <w:color w:val="auto"/>
        </w:rPr>
      </w:pPr>
    </w:p>
    <w:p>
      <w:pPr>
        <w:ind w:left="260" w:right="300" w:hanging="252"/>
        <w:spacing w:after="0" w:line="245" w:lineRule="auto"/>
        <w:tabs>
          <w:tab w:leader="none" w:pos="251" w:val="left"/>
        </w:tabs>
        <w:numPr>
          <w:ilvl w:val="0"/>
          <w:numId w:val="154"/>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GFI Entity</w:t>
      </w:r>
      <w:r>
        <w:rPr>
          <w:rFonts w:ascii="Arial" w:cs="Arial" w:eastAsia="Arial" w:hAnsi="Arial"/>
          <w:sz w:val="16"/>
          <w:szCs w:val="16"/>
          <w:color w:val="auto"/>
        </w:rPr>
        <w:t>” means Genworth Financial, Inc., a Delaware corporation and indirect parent of the Company, together with any successor company, and any of its Affiliates.</w:t>
      </w:r>
    </w:p>
    <w:p>
      <w:pPr>
        <w:spacing w:after="0" w:line="34" w:lineRule="exact"/>
        <w:rPr>
          <w:rFonts w:ascii="Arial" w:cs="Arial" w:eastAsia="Arial" w:hAnsi="Arial"/>
          <w:sz w:val="15"/>
          <w:szCs w:val="15"/>
          <w:color w:val="auto"/>
        </w:rPr>
      </w:pPr>
    </w:p>
    <w:p>
      <w:pPr>
        <w:ind w:left="260" w:right="300" w:hanging="252"/>
        <w:spacing w:after="0" w:line="245" w:lineRule="auto"/>
        <w:tabs>
          <w:tab w:leader="none" w:pos="253" w:val="left"/>
        </w:tabs>
        <w:numPr>
          <w:ilvl w:val="0"/>
          <w:numId w:val="154"/>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has the meaning assigned to such term in the Award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no such agreement exists or if such agreement does not define “Good Reason,” Good Reason and any provision of the Plan that refers to Good Reason shall not be applicable to such Participant.</w:t>
      </w:r>
    </w:p>
    <w:p>
      <w:pPr>
        <w:spacing w:after="0" w:line="35" w:lineRule="exact"/>
        <w:rPr>
          <w:sz w:val="20"/>
          <w:szCs w:val="20"/>
          <w:color w:val="auto"/>
        </w:rPr>
      </w:pPr>
    </w:p>
    <w:p>
      <w:pPr>
        <w:ind w:left="300" w:hanging="292"/>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ISO</w:t>
      </w:r>
      <w:r>
        <w:rPr>
          <w:rFonts w:ascii="Arial" w:cs="Arial" w:eastAsia="Arial" w:hAnsi="Arial"/>
          <w:sz w:val="16"/>
          <w:szCs w:val="16"/>
          <w:color w:val="auto"/>
        </w:rPr>
        <w:t>” means an Option intended to be and designated as an “incentive stock option” within the meaning of Section 422 of the Code.</w:t>
      </w:r>
    </w:p>
    <w:p>
      <w:pPr>
        <w:spacing w:after="0" w:line="144" w:lineRule="exact"/>
        <w:rPr>
          <w:rFonts w:ascii="Arial" w:cs="Arial" w:eastAsia="Arial" w:hAnsi="Arial"/>
          <w:sz w:val="16"/>
          <w:szCs w:val="16"/>
          <w:color w:val="auto"/>
        </w:rPr>
      </w:pPr>
    </w:p>
    <w:p>
      <w:pPr>
        <w:ind w:left="320" w:hanging="312"/>
        <w:spacing w:after="0"/>
        <w:tabs>
          <w:tab w:leader="none" w:pos="3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is not designated as an ISO.</w:t>
      </w:r>
    </w:p>
    <w:p>
      <w:pPr>
        <w:spacing w:after="0" w:line="134" w:lineRule="exact"/>
        <w:rPr>
          <w:rFonts w:ascii="Arial" w:cs="Arial" w:eastAsia="Arial" w:hAnsi="Arial"/>
          <w:sz w:val="16"/>
          <w:szCs w:val="16"/>
          <w:color w:val="auto"/>
        </w:rPr>
      </w:pPr>
    </w:p>
    <w:p>
      <w:pPr>
        <w:ind w:left="260" w:right="260" w:hanging="252"/>
        <w:spacing w:after="0" w:line="245" w:lineRule="auto"/>
        <w:tabs>
          <w:tab w:leader="none" w:pos="31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option to purchase shares of Common Stock granted pursuant to Section 7 hereof. The term “Option” as used in the Plan includes the terms “Nonqualified Stock Option” and “ISO.”</w:t>
      </w:r>
    </w:p>
    <w:p>
      <w:pPr>
        <w:spacing w:after="0" w:line="44" w:lineRule="exact"/>
        <w:rPr>
          <w:rFonts w:ascii="Arial" w:cs="Arial" w:eastAsia="Arial" w:hAnsi="Arial"/>
          <w:sz w:val="16"/>
          <w:szCs w:val="16"/>
          <w:color w:val="auto"/>
        </w:rPr>
      </w:pPr>
    </w:p>
    <w:p>
      <w:pPr>
        <w:ind w:left="320" w:hanging="312"/>
        <w:spacing w:after="0"/>
        <w:tabs>
          <w:tab w:leader="none" w:pos="3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Stock-Based Award</w:t>
      </w:r>
      <w:r>
        <w:rPr>
          <w:rFonts w:ascii="Arial" w:cs="Arial" w:eastAsia="Arial" w:hAnsi="Arial"/>
          <w:sz w:val="16"/>
          <w:szCs w:val="16"/>
          <w:color w:val="auto"/>
        </w:rPr>
        <w:t>” means an Award granted pursuant to Section 10</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hereof.</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(ee) “</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Eligible Recipient selected by the Administrator,</w:t>
      </w:r>
    </w:p>
    <w:p>
      <w:pPr>
        <w:spacing w:after="0" w:line="72" w:lineRule="exact"/>
        <w:rPr>
          <w:sz w:val="20"/>
          <w:szCs w:val="20"/>
          <w:color w:val="auto"/>
        </w:rPr>
      </w:pPr>
    </w:p>
    <w:p>
      <w:pPr>
        <w:ind w:left="260" w:right="300"/>
        <w:spacing w:after="0" w:line="259" w:lineRule="auto"/>
        <w:rPr>
          <w:sz w:val="20"/>
          <w:szCs w:val="20"/>
          <w:color w:val="auto"/>
        </w:rPr>
      </w:pPr>
      <w:r>
        <w:rPr>
          <w:rFonts w:ascii="Arial" w:cs="Arial" w:eastAsia="Arial" w:hAnsi="Arial"/>
          <w:sz w:val="16"/>
          <w:szCs w:val="16"/>
          <w:color w:val="auto"/>
        </w:rPr>
        <w:t>pursuant to the Administrator’s authority provided for in Section 3 hereof, to receive grants of Awards, and, upon such Eligible Recipient’s death, such Eligible Recipient’s successors, heirs, executors and administrators, as the case may be.</w:t>
      </w:r>
    </w:p>
    <w:p>
      <w:pPr>
        <w:spacing w:after="0" w:line="23" w:lineRule="exact"/>
        <w:rPr>
          <w:sz w:val="20"/>
          <w:szCs w:val="20"/>
          <w:color w:val="auto"/>
        </w:rPr>
      </w:pPr>
    </w:p>
    <w:p>
      <w:pPr>
        <w:ind w:left="260" w:hanging="252"/>
        <w:spacing w:after="0" w:line="236" w:lineRule="auto"/>
        <w:tabs>
          <w:tab w:leader="none" w:pos="27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Goals</w:t>
      </w:r>
      <w:r>
        <w:rPr>
          <w:rFonts w:ascii="Arial" w:cs="Arial" w:eastAsia="Arial" w:hAnsi="Arial"/>
          <w:sz w:val="15"/>
          <w:szCs w:val="15"/>
          <w:color w:val="auto"/>
        </w:rPr>
        <w:t>” means performance goals based on criteria selected by the Administrator in its sole discretion, including, without limitation, one or more of the following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shareholder return;</w:t>
      </w:r>
    </w:p>
    <w:p>
      <w:pPr>
        <w:sectPr>
          <w:pgSz w:w="11900" w:h="16838" w:orient="portrait"/>
          <w:cols w:equalWidth="0" w:num="1">
            <w:col w:w="11020"/>
          </w:cols>
          <w:pgMar w:left="540" w:top="1139" w:right="339" w:bottom="1440" w:gutter="0" w:footer="0" w:header="0"/>
        </w:sectPr>
      </w:pPr>
    </w:p>
    <w:bookmarkStart w:id="263" w:name="page264"/>
    <w:bookmarkEnd w:id="263"/>
    <w:p>
      <w:pPr>
        <w:ind w:left="252" w:right="40" w:hanging="6"/>
        <w:spacing w:after="0" w:line="233" w:lineRule="auto"/>
        <w:tabs>
          <w:tab w:leader="none" w:pos="566" w:val="left"/>
        </w:tabs>
        <w:numPr>
          <w:ilvl w:val="1"/>
          <w:numId w:val="157"/>
        </w:numPr>
        <w:rPr>
          <w:rFonts w:ascii="Arial" w:cs="Arial" w:eastAsia="Arial" w:hAnsi="Arial"/>
          <w:sz w:val="15"/>
          <w:szCs w:val="15"/>
          <w:color w:val="auto"/>
        </w:rPr>
      </w:pPr>
      <w:r>
        <w:rPr>
          <w:rFonts w:ascii="Arial" w:cs="Arial" w:eastAsia="Arial" w:hAnsi="Arial"/>
          <w:sz w:val="15"/>
          <w:szCs w:val="15"/>
          <w:color w:val="auto"/>
        </w:rPr>
        <w:t>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38" w:lineRule="exact"/>
        <w:rPr>
          <w:rFonts w:ascii="Arial" w:cs="Arial" w:eastAsia="Arial" w:hAnsi="Arial"/>
          <w:sz w:val="15"/>
          <w:szCs w:val="15"/>
          <w:color w:val="auto"/>
        </w:rPr>
      </w:pPr>
    </w:p>
    <w:p>
      <w:pPr>
        <w:jc w:val="both"/>
        <w:ind w:left="252" w:hanging="252"/>
        <w:spacing w:after="0" w:line="233" w:lineRule="auto"/>
        <w:tabs>
          <w:tab w:leader="none" w:pos="3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Stock Unit</w:t>
      </w:r>
      <w:r>
        <w:rPr>
          <w:rFonts w:ascii="Arial" w:cs="Arial" w:eastAsia="Arial" w:hAnsi="Arial"/>
          <w:sz w:val="16"/>
          <w:szCs w:val="16"/>
          <w:color w:val="auto"/>
        </w:rPr>
        <w:t>” means the right, granted pursuant to Section 9 hereof, to receive an amount in cash or Shares (or any combination thereof) equal to the Fair Market Value of a Share subject to certain restrictions (including the achievement of Performance Goals established by the Administrator) that lapse at the end of a specified period or periods.</w:t>
      </w:r>
    </w:p>
    <w:p>
      <w:pPr>
        <w:spacing w:after="0" w:line="38" w:lineRule="exact"/>
        <w:rPr>
          <w:rFonts w:ascii="Arial" w:cs="Arial" w:eastAsia="Arial" w:hAnsi="Arial"/>
          <w:sz w:val="16"/>
          <w:szCs w:val="16"/>
          <w:color w:val="auto"/>
        </w:rPr>
      </w:pPr>
    </w:p>
    <w:p>
      <w:pPr>
        <w:ind w:left="312" w:hanging="312"/>
        <w:spacing w:after="0"/>
        <w:tabs>
          <w:tab w:leader="none" w:pos="31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has the meaning given in Section 3(a)(9) of the Exchange Act, as modified and used in Sections 13(d) and 14(d) thereof.</w:t>
      </w:r>
    </w:p>
    <w:p>
      <w:pPr>
        <w:spacing w:after="0" w:line="62" w:lineRule="exact"/>
        <w:rPr>
          <w:rFonts w:ascii="Arial" w:cs="Arial" w:eastAsia="Arial" w:hAnsi="Arial"/>
          <w:sz w:val="16"/>
          <w:szCs w:val="16"/>
          <w:color w:val="auto"/>
        </w:rPr>
      </w:pPr>
    </w:p>
    <w:p>
      <w:pPr>
        <w:ind w:left="232" w:hanging="232"/>
        <w:spacing w:after="0"/>
        <w:tabs>
          <w:tab w:leader="none" w:pos="23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Enact Holdings, Inc. 2021 Omnibus Incentive Plan, as may be amended and/or restated from time to time.</w:t>
      </w:r>
    </w:p>
    <w:p>
      <w:pPr>
        <w:spacing w:after="0" w:line="72" w:lineRule="exact"/>
        <w:rPr>
          <w:rFonts w:ascii="Arial" w:cs="Arial" w:eastAsia="Arial" w:hAnsi="Arial"/>
          <w:sz w:val="16"/>
          <w:szCs w:val="16"/>
          <w:color w:val="auto"/>
        </w:rPr>
      </w:pPr>
    </w:p>
    <w:p>
      <w:pPr>
        <w:ind w:left="232" w:hanging="232"/>
        <w:spacing w:after="0"/>
        <w:tabs>
          <w:tab w:leader="none" w:pos="23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Right</w:t>
      </w:r>
      <w:r>
        <w:rPr>
          <w:rFonts w:ascii="Arial" w:cs="Arial" w:eastAsia="Arial" w:hAnsi="Arial"/>
          <w:sz w:val="16"/>
          <w:szCs w:val="16"/>
          <w:color w:val="auto"/>
        </w:rPr>
        <w:t>” has the meaning set forth in Section 8(a) hereof.</w:t>
      </w:r>
    </w:p>
    <w:p>
      <w:pPr>
        <w:spacing w:after="0" w:line="62" w:lineRule="exact"/>
        <w:rPr>
          <w:rFonts w:ascii="Arial" w:cs="Arial" w:eastAsia="Arial" w:hAnsi="Arial"/>
          <w:sz w:val="16"/>
          <w:szCs w:val="16"/>
          <w:color w:val="auto"/>
        </w:rPr>
      </w:pPr>
    </w:p>
    <w:p>
      <w:pPr>
        <w:ind w:left="312" w:hanging="312"/>
        <w:spacing w:after="0"/>
        <w:tabs>
          <w:tab w:leader="none" w:pos="31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w:t>
      </w:r>
      <w:r>
        <w:rPr>
          <w:rFonts w:ascii="Arial" w:cs="Arial" w:eastAsia="Arial" w:hAnsi="Arial"/>
          <w:sz w:val="15"/>
          <w:szCs w:val="15"/>
          <w:color w:val="auto"/>
        </w:rPr>
        <w:t>” means Shares granted pursuant to Section 9 hereof subject to certain restrictions that lapse at the end of a specified period or periods.</w:t>
      </w:r>
    </w:p>
    <w:p>
      <w:pPr>
        <w:spacing w:after="0" w:line="73" w:lineRule="exact"/>
        <w:rPr>
          <w:rFonts w:ascii="Arial" w:cs="Arial" w:eastAsia="Arial" w:hAnsi="Arial"/>
          <w:sz w:val="15"/>
          <w:szCs w:val="15"/>
          <w:color w:val="auto"/>
        </w:rPr>
      </w:pPr>
    </w:p>
    <w:p>
      <w:pPr>
        <w:ind w:left="252" w:hanging="252"/>
        <w:spacing w:after="0" w:line="245" w:lineRule="auto"/>
        <w:tabs>
          <w:tab w:leader="none" w:pos="24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the right, granted pursuant to Section 9 hereof, to receive an amount in cash or Shares (or any combination thereof) equal to the Fair Market Value of a Share subject to certain restrictions that lapse at the end of a specified period or periods.</w:t>
      </w:r>
    </w:p>
    <w:p>
      <w:pPr>
        <w:spacing w:after="0" w:line="44" w:lineRule="exact"/>
        <w:rPr>
          <w:rFonts w:ascii="Arial" w:cs="Arial" w:eastAsia="Arial" w:hAnsi="Arial"/>
          <w:sz w:val="16"/>
          <w:szCs w:val="16"/>
          <w:color w:val="auto"/>
        </w:rPr>
      </w:pPr>
    </w:p>
    <w:p>
      <w:pPr>
        <w:ind w:left="412" w:hanging="412"/>
        <w:spacing w:after="0"/>
        <w:tabs>
          <w:tab w:leader="none" w:pos="41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has the meaning set forth in Section 3(a) hereof.</w:t>
      </w:r>
    </w:p>
    <w:p>
      <w:pPr>
        <w:spacing w:after="0" w:line="62" w:lineRule="exact"/>
        <w:rPr>
          <w:rFonts w:ascii="Arial" w:cs="Arial" w:eastAsia="Arial" w:hAnsi="Arial"/>
          <w:sz w:val="16"/>
          <w:szCs w:val="16"/>
          <w:color w:val="auto"/>
        </w:rPr>
      </w:pPr>
    </w:p>
    <w:p>
      <w:pPr>
        <w:ind w:left="252" w:right="600" w:hanging="252"/>
        <w:spacing w:after="0" w:line="245" w:lineRule="auto"/>
        <w:tabs>
          <w:tab w:leader="none" w:pos="3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shares of Common Stock reserved for issuance under the Plan, as adjusted pursuant to the Plan, and any successor (pursuant to a merger, consolidation or other reorganization) security.</w:t>
      </w:r>
    </w:p>
    <w:p>
      <w:pPr>
        <w:spacing w:after="0" w:line="34" w:lineRule="exact"/>
        <w:rPr>
          <w:rFonts w:ascii="Arial" w:cs="Arial" w:eastAsia="Arial" w:hAnsi="Arial"/>
          <w:sz w:val="16"/>
          <w:szCs w:val="16"/>
          <w:color w:val="auto"/>
        </w:rPr>
      </w:pPr>
    </w:p>
    <w:p>
      <w:pPr>
        <w:ind w:left="312" w:hanging="312"/>
        <w:spacing w:after="0"/>
        <w:tabs>
          <w:tab w:leader="none" w:pos="31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the right to receive, upon exercise of the right, the applicable amounts as described in Section 8 hereof.</w:t>
      </w:r>
    </w:p>
    <w:p>
      <w:pPr>
        <w:spacing w:after="0" w:line="62" w:lineRule="exact"/>
        <w:rPr>
          <w:rFonts w:ascii="Arial" w:cs="Arial" w:eastAsia="Arial" w:hAnsi="Arial"/>
          <w:sz w:val="16"/>
          <w:szCs w:val="16"/>
          <w:color w:val="auto"/>
        </w:rPr>
      </w:pPr>
    </w:p>
    <w:p>
      <w:pPr>
        <w:ind w:left="312" w:hanging="312"/>
        <w:spacing w:after="0"/>
        <w:tabs>
          <w:tab w:leader="none" w:pos="31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Bonus</w:t>
      </w:r>
      <w:r>
        <w:rPr>
          <w:rFonts w:ascii="Arial" w:cs="Arial" w:eastAsia="Arial" w:hAnsi="Arial"/>
          <w:sz w:val="16"/>
          <w:szCs w:val="16"/>
          <w:color w:val="auto"/>
        </w:rPr>
        <w:t>” means a bonus payable in fully vested shares of Common Stock granted pursuant to Section 11 hereof.</w:t>
      </w:r>
    </w:p>
    <w:p>
      <w:pPr>
        <w:sectPr>
          <w:pgSz w:w="11900" w:h="16838" w:orient="portrait"/>
          <w:cols w:equalWidth="0" w:num="1">
            <w:col w:w="10972"/>
          </w:cols>
          <w:pgMar w:left="548" w:top="1138" w:right="379" w:bottom="1440" w:gutter="0" w:footer="0" w:header="0"/>
        </w:sectPr>
      </w:pPr>
    </w:p>
    <w:bookmarkStart w:id="264" w:name="page265"/>
    <w:bookmarkEnd w:id="264"/>
    <w:p>
      <w:pPr>
        <w:jc w:val="both"/>
        <w:ind w:left="420" w:hanging="252"/>
        <w:spacing w:after="0" w:line="233" w:lineRule="auto"/>
        <w:tabs>
          <w:tab w:leader="none" w:pos="49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48" w:lineRule="exact"/>
        <w:rPr>
          <w:rFonts w:ascii="Arial" w:cs="Arial" w:eastAsia="Arial" w:hAnsi="Arial"/>
          <w:sz w:val="16"/>
          <w:szCs w:val="16"/>
          <w:color w:val="auto"/>
        </w:rPr>
      </w:pPr>
    </w:p>
    <w:p>
      <w:pPr>
        <w:ind w:left="420" w:hanging="252"/>
        <w:spacing w:after="0"/>
        <w:tabs>
          <w:tab w:leader="none" w:pos="4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has the meaning set forth in Section 18 hereof.</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Administration.</w:t>
      </w:r>
    </w:p>
    <w:p>
      <w:pPr>
        <w:spacing w:after="0" w:line="66" w:lineRule="exact"/>
        <w:rPr>
          <w:sz w:val="20"/>
          <w:szCs w:val="20"/>
          <w:color w:val="auto"/>
        </w:rPr>
      </w:pPr>
    </w:p>
    <w:p>
      <w:pPr>
        <w:ind w:left="420" w:hanging="252"/>
        <w:spacing w:after="0" w:line="245" w:lineRule="auto"/>
        <w:tabs>
          <w:tab w:leader="none" w:pos="413" w:val="left"/>
        </w:tabs>
        <w:numPr>
          <w:ilvl w:val="0"/>
          <w:numId w:val="160"/>
        </w:numPr>
        <w:rPr>
          <w:rFonts w:ascii="Arial" w:cs="Arial" w:eastAsia="Arial" w:hAnsi="Arial"/>
          <w:sz w:val="15"/>
          <w:szCs w:val="15"/>
          <w:color w:val="auto"/>
        </w:rPr>
      </w:pPr>
      <w:r>
        <w:rPr>
          <w:rFonts w:ascii="Arial" w:cs="Arial" w:eastAsia="Arial" w:hAnsi="Arial"/>
          <w:sz w:val="16"/>
          <w:szCs w:val="16"/>
          <w:color w:val="auto"/>
        </w:rPr>
        <w:t>The Plan shall be administered by the Administrator and shall be administered in accordance with the requirements of Rule 16b-3 under the Exchange Act (“</w:t>
      </w:r>
      <w:r>
        <w:rPr>
          <w:rFonts w:ascii="Arial" w:cs="Arial" w:eastAsia="Arial" w:hAnsi="Arial"/>
          <w:sz w:val="16"/>
          <w:szCs w:val="16"/>
          <w:u w:val="single" w:color="auto"/>
          <w:color w:val="auto"/>
        </w:rPr>
        <w:t>Rule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16b-3</w:t>
      </w:r>
      <w:r>
        <w:rPr>
          <w:rFonts w:ascii="Arial" w:cs="Arial" w:eastAsia="Arial" w:hAnsi="Arial"/>
          <w:sz w:val="16"/>
          <w:szCs w:val="16"/>
          <w:color w:val="auto"/>
        </w:rPr>
        <w:t>”), to the extent applicable.</w:t>
      </w:r>
    </w:p>
    <w:p>
      <w:pPr>
        <w:spacing w:after="0" w:line="34" w:lineRule="exact"/>
        <w:rPr>
          <w:rFonts w:ascii="Arial" w:cs="Arial" w:eastAsia="Arial" w:hAnsi="Arial"/>
          <w:sz w:val="15"/>
          <w:szCs w:val="15"/>
          <w:color w:val="auto"/>
        </w:rPr>
      </w:pPr>
    </w:p>
    <w:p>
      <w:pPr>
        <w:ind w:left="420" w:right="280" w:hanging="252"/>
        <w:spacing w:after="0" w:line="245" w:lineRule="auto"/>
        <w:tabs>
          <w:tab w:leader="none" w:pos="411" w:val="left"/>
        </w:tabs>
        <w:numPr>
          <w:ilvl w:val="0"/>
          <w:numId w:val="160"/>
        </w:numPr>
        <w:rPr>
          <w:rFonts w:ascii="Arial" w:cs="Arial" w:eastAsia="Arial" w:hAnsi="Arial"/>
          <w:sz w:val="15"/>
          <w:szCs w:val="15"/>
          <w:color w:val="auto"/>
        </w:rPr>
      </w:pPr>
      <w:r>
        <w:rPr>
          <w:rFonts w:ascii="Arial" w:cs="Arial" w:eastAsia="Arial" w:hAnsi="Arial"/>
          <w:sz w:val="16"/>
          <w:szCs w:val="16"/>
          <w:color w:val="auto"/>
        </w:rPr>
        <w:t>Pursuant to the terms of the Plan, the Administrator, subject, in the case of any Committee, to any restrictions on the authority delegated to it by the Board, shall have the power and authority, without limitation:</w:t>
      </w:r>
    </w:p>
    <w:p>
      <w:pPr>
        <w:spacing w:after="0" w:line="44" w:lineRule="exact"/>
        <w:rPr>
          <w:rFonts w:ascii="Arial" w:cs="Arial" w:eastAsia="Arial" w:hAnsi="Arial"/>
          <w:sz w:val="15"/>
          <w:szCs w:val="15"/>
          <w:color w:val="auto"/>
        </w:rPr>
      </w:pPr>
    </w:p>
    <w:p>
      <w:pPr>
        <w:ind w:left="900" w:hanging="239"/>
        <w:spacing w:after="0"/>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select those Eligible Recipients who shall be Participants;</w:t>
      </w:r>
    </w:p>
    <w:p>
      <w:pPr>
        <w:spacing w:after="0" w:line="62" w:lineRule="exact"/>
        <w:rPr>
          <w:rFonts w:ascii="Arial" w:cs="Arial" w:eastAsia="Arial" w:hAnsi="Arial"/>
          <w:sz w:val="15"/>
          <w:szCs w:val="15"/>
          <w:color w:val="auto"/>
        </w:rPr>
      </w:pPr>
    </w:p>
    <w:p>
      <w:pPr>
        <w:ind w:left="900" w:hanging="239"/>
        <w:spacing w:after="0"/>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determine whether and to what extent Awards are to be granted hereunder to Participants;</w:t>
      </w:r>
    </w:p>
    <w:p>
      <w:pPr>
        <w:spacing w:after="0" w:line="72" w:lineRule="exact"/>
        <w:rPr>
          <w:rFonts w:ascii="Arial" w:cs="Arial" w:eastAsia="Arial" w:hAnsi="Arial"/>
          <w:sz w:val="15"/>
          <w:szCs w:val="15"/>
          <w:color w:val="auto"/>
        </w:rPr>
      </w:pPr>
    </w:p>
    <w:p>
      <w:pPr>
        <w:ind w:left="900" w:hanging="239"/>
        <w:spacing w:after="0"/>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determine the number of Shares to be covered by each Award granted hereunder;</w:t>
      </w:r>
    </w:p>
    <w:p>
      <w:pPr>
        <w:spacing w:after="0" w:line="72" w:lineRule="exact"/>
        <w:rPr>
          <w:rFonts w:ascii="Arial" w:cs="Arial" w:eastAsia="Arial" w:hAnsi="Arial"/>
          <w:sz w:val="15"/>
          <w:szCs w:val="15"/>
          <w:color w:val="auto"/>
        </w:rPr>
      </w:pPr>
    </w:p>
    <w:p>
      <w:pPr>
        <w:ind w:left="900" w:right="20" w:hanging="239"/>
        <w:spacing w:after="0" w:line="252" w:lineRule="auto"/>
        <w:tabs>
          <w:tab w:leader="none" w:pos="900" w:val="left"/>
        </w:tabs>
        <w:numPr>
          <w:ilvl w:val="1"/>
          <w:numId w:val="160"/>
        </w:numPr>
        <w:rPr>
          <w:rFonts w:ascii="Arial" w:cs="Arial" w:eastAsia="Arial" w:hAnsi="Arial"/>
          <w:sz w:val="14"/>
          <w:szCs w:val="14"/>
          <w:color w:val="auto"/>
        </w:rPr>
      </w:pPr>
      <w:r>
        <w:rPr>
          <w:rFonts w:ascii="Arial" w:cs="Arial" w:eastAsia="Arial" w:hAnsi="Arial"/>
          <w:sz w:val="15"/>
          <w:szCs w:val="15"/>
          <w:color w:val="auto"/>
        </w:rPr>
        <w:t>to determine the terms and conditions, not inconsistent with the terms of the Plan, of each Award granted hereunder (including, but not limited to, (i) the restriction applicable to Restricted Stock or Restricted Stock Units and the conditions under which restrictions applicable to such Restricted Stock or Restricted Stock Units shall lapse, (ii) the Performance Goals and periods applicable to Awards, (iii) the Exercise Price of each Option and the Base Price of each Stock Appreciation Right, (iv) the vesting schedule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31" w:lineRule="exact"/>
        <w:rPr>
          <w:rFonts w:ascii="Arial" w:cs="Arial" w:eastAsia="Arial" w:hAnsi="Arial"/>
          <w:sz w:val="14"/>
          <w:szCs w:val="14"/>
          <w:color w:val="auto"/>
        </w:rPr>
      </w:pPr>
    </w:p>
    <w:p>
      <w:pPr>
        <w:ind w:left="900" w:hanging="239"/>
        <w:spacing w:after="0"/>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determine the terms and conditions, not inconsistent with the terms of the Plan, which shall govern all written instruments evidencing Awards;</w:t>
      </w:r>
    </w:p>
    <w:p>
      <w:pPr>
        <w:spacing w:after="0" w:line="72" w:lineRule="exact"/>
        <w:rPr>
          <w:rFonts w:ascii="Arial" w:cs="Arial" w:eastAsia="Arial" w:hAnsi="Arial"/>
          <w:sz w:val="15"/>
          <w:szCs w:val="15"/>
          <w:color w:val="auto"/>
        </w:rPr>
      </w:pPr>
    </w:p>
    <w:p>
      <w:pPr>
        <w:ind w:left="900" w:hanging="239"/>
        <w:spacing w:after="0"/>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determine the Fair Market Value in accordance with the terms of the Plan;</w:t>
      </w:r>
    </w:p>
    <w:p>
      <w:pPr>
        <w:spacing w:after="0" w:line="72" w:lineRule="exact"/>
        <w:rPr>
          <w:rFonts w:ascii="Arial" w:cs="Arial" w:eastAsia="Arial" w:hAnsi="Arial"/>
          <w:sz w:val="15"/>
          <w:szCs w:val="15"/>
          <w:color w:val="auto"/>
        </w:rPr>
      </w:pPr>
    </w:p>
    <w:p>
      <w:pPr>
        <w:ind w:left="900" w:right="460" w:hanging="239"/>
        <w:spacing w:after="0" w:line="259" w:lineRule="auto"/>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determine the duration and purpose of leaves of absence which may be granted to a Participant without constituting termination of the Participant’s employment or service for purposes of Awards granted under the Plan;</w:t>
      </w:r>
    </w:p>
    <w:p>
      <w:pPr>
        <w:spacing w:after="0" w:line="23" w:lineRule="exact"/>
        <w:rPr>
          <w:rFonts w:ascii="Arial" w:cs="Arial" w:eastAsia="Arial" w:hAnsi="Arial"/>
          <w:sz w:val="15"/>
          <w:szCs w:val="15"/>
          <w:color w:val="auto"/>
        </w:rPr>
      </w:pPr>
    </w:p>
    <w:p>
      <w:pPr>
        <w:ind w:left="900" w:hanging="239"/>
        <w:spacing w:after="0"/>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adopt, alter and repeal such administrative rules, guidelines and practices governing the Plan as it shall from time to time deem advisable;</w:t>
      </w:r>
    </w:p>
    <w:p>
      <w:pPr>
        <w:spacing w:after="0" w:line="62" w:lineRule="exact"/>
        <w:rPr>
          <w:rFonts w:ascii="Arial" w:cs="Arial" w:eastAsia="Arial" w:hAnsi="Arial"/>
          <w:sz w:val="15"/>
          <w:szCs w:val="15"/>
          <w:color w:val="auto"/>
        </w:rPr>
      </w:pPr>
    </w:p>
    <w:p>
      <w:pPr>
        <w:ind w:left="900" w:right="20" w:hanging="239"/>
        <w:spacing w:after="0" w:line="233" w:lineRule="auto"/>
        <w:tabs>
          <w:tab w:leader="none" w:pos="9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to prescribe, amend and rescind rules and regulations relating to sub- plans established for the purpose of satisfying applicable foreign laws or qualifying for favorable tax treatment under applicable foreign laws, which rules and regulations may be set forth in an appendix or appendices to the Plan or the applicable Award Agreement; and</w:t>
      </w:r>
    </w:p>
    <w:p>
      <w:pPr>
        <w:sectPr>
          <w:pgSz w:w="11900" w:h="16838" w:orient="portrait"/>
          <w:cols w:equalWidth="0" w:num="1">
            <w:col w:w="11200"/>
          </w:cols>
          <w:pgMar w:left="380" w:top="1139" w:right="319" w:bottom="1440" w:gutter="0" w:footer="0" w:header="0"/>
        </w:sectPr>
      </w:pPr>
    </w:p>
    <w:bookmarkStart w:id="265" w:name="page266"/>
    <w:bookmarkEnd w:id="265"/>
    <w:p>
      <w:pPr>
        <w:jc w:val="both"/>
        <w:ind w:left="900" w:right="360" w:hanging="239"/>
        <w:spacing w:after="0" w:line="233" w:lineRule="auto"/>
        <w:tabs>
          <w:tab w:leader="none" w:pos="893" w:val="left"/>
        </w:tabs>
        <w:numPr>
          <w:ilvl w:val="1"/>
          <w:numId w:val="161"/>
        </w:numPr>
        <w:rPr>
          <w:rFonts w:ascii="Arial" w:cs="Arial" w:eastAsia="Arial" w:hAnsi="Arial"/>
          <w:sz w:val="15"/>
          <w:szCs w:val="15"/>
          <w:color w:val="auto"/>
        </w:rPr>
      </w:pPr>
      <w:r>
        <w:rPr>
          <w:rFonts w:ascii="Arial" w:cs="Arial" w:eastAsia="Arial" w:hAnsi="Arial"/>
          <w:sz w:val="16"/>
          <w:szCs w:val="16"/>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38" w:lineRule="exact"/>
        <w:rPr>
          <w:rFonts w:ascii="Arial" w:cs="Arial" w:eastAsia="Arial" w:hAnsi="Arial"/>
          <w:sz w:val="15"/>
          <w:szCs w:val="15"/>
          <w:color w:val="auto"/>
        </w:rPr>
      </w:pPr>
    </w:p>
    <w:p>
      <w:pPr>
        <w:ind w:left="420" w:right="100" w:hanging="252"/>
        <w:spacing w:after="0" w:line="223" w:lineRule="auto"/>
        <w:tabs>
          <w:tab w:leader="none" w:pos="413" w:val="left"/>
        </w:tabs>
        <w:numPr>
          <w:ilvl w:val="0"/>
          <w:numId w:val="162"/>
        </w:numPr>
        <w:rPr>
          <w:rFonts w:ascii="Arial" w:cs="Arial" w:eastAsia="Arial" w:hAnsi="Arial"/>
          <w:sz w:val="15"/>
          <w:szCs w:val="15"/>
          <w:color w:val="auto"/>
        </w:rPr>
      </w:pPr>
      <w:r>
        <w:rPr>
          <w:rFonts w:ascii="Arial" w:cs="Arial" w:eastAsia="Arial" w:hAnsi="Arial"/>
          <w:sz w:val="16"/>
          <w:szCs w:val="16"/>
          <w:color w:val="auto"/>
        </w:rPr>
        <w:t>Notwithstanding the foregoing, but subject to Section 5 hereof, the Company may not, without first obtaining the approval of the Company’s shareholders, (i) amend the terms of outstanding Options or Stock Appreciation Rights to reduce the Exercise Price or Base Price, as applicable, of such Options or Stock Appreciation Rights, (ii) cancel outstanding Options or Stock Appreciation Rights in exchange for Options or Stock Appreciation Rights with an Exercise Price or Base Price, as applicable, that is less than the Exercise Price or Base Price of the original Options or Stock Appreciation Rights or (iii) cancel outstanding Options or Stock Appreciation Rights with an Exercise Price or Base Price, as applicable, that is above the current per share stock price, in exchange for cash, property or other securities.</w:t>
      </w:r>
    </w:p>
    <w:p>
      <w:pPr>
        <w:spacing w:after="0" w:line="41" w:lineRule="exact"/>
        <w:rPr>
          <w:rFonts w:ascii="Arial" w:cs="Arial" w:eastAsia="Arial" w:hAnsi="Arial"/>
          <w:sz w:val="15"/>
          <w:szCs w:val="15"/>
          <w:color w:val="auto"/>
        </w:rPr>
      </w:pPr>
    </w:p>
    <w:p>
      <w:pPr>
        <w:ind w:left="420" w:right="20" w:hanging="252"/>
        <w:spacing w:after="0" w:line="238" w:lineRule="auto"/>
        <w:tabs>
          <w:tab w:leader="none" w:pos="411" w:val="left"/>
        </w:tabs>
        <w:numPr>
          <w:ilvl w:val="0"/>
          <w:numId w:val="162"/>
        </w:numPr>
        <w:rPr>
          <w:rFonts w:ascii="Arial" w:cs="Arial" w:eastAsia="Arial" w:hAnsi="Arial"/>
          <w:sz w:val="14"/>
          <w:szCs w:val="14"/>
          <w:color w:val="auto"/>
        </w:rPr>
      </w:pPr>
      <w:r>
        <w:rPr>
          <w:rFonts w:ascii="Arial" w:cs="Arial" w:eastAsia="Arial" w:hAnsi="Arial"/>
          <w:sz w:val="15"/>
          <w:szCs w:val="15"/>
          <w:color w:val="auto"/>
        </w:rPr>
        <w:t>All decisions made by the Administrator pursuant to the provisions of the Plan shall be final, conclusive and binding on all Persons, including the Company and the Participants. The provisions and administration of each Award need not be the same with respect to each Participant.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40" w:lineRule="exact"/>
        <w:rPr>
          <w:rFonts w:ascii="Arial" w:cs="Arial" w:eastAsia="Arial" w:hAnsi="Arial"/>
          <w:sz w:val="14"/>
          <w:szCs w:val="14"/>
          <w:color w:val="auto"/>
        </w:rPr>
      </w:pPr>
    </w:p>
    <w:p>
      <w:pPr>
        <w:ind w:left="420" w:right="60" w:hanging="252"/>
        <w:spacing w:after="0" w:line="253" w:lineRule="auto"/>
        <w:tabs>
          <w:tab w:leader="none" w:pos="413" w:val="left"/>
        </w:tabs>
        <w:numPr>
          <w:ilvl w:val="0"/>
          <w:numId w:val="162"/>
        </w:numPr>
        <w:rPr>
          <w:rFonts w:ascii="Arial" w:cs="Arial" w:eastAsia="Arial" w:hAnsi="Arial"/>
          <w:sz w:val="14"/>
          <w:szCs w:val="14"/>
          <w:color w:val="auto"/>
        </w:rPr>
      </w:pPr>
      <w:r>
        <w:rPr>
          <w:rFonts w:ascii="Arial" w:cs="Arial" w:eastAsia="Arial" w:hAnsi="Arial"/>
          <w:sz w:val="15"/>
          <w:szCs w:val="15"/>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 Shares Reserved for Issuance; Certain Limitations</w:t>
      </w:r>
    </w:p>
    <w:p>
      <w:pPr>
        <w:spacing w:after="0" w:line="66" w:lineRule="exact"/>
        <w:rPr>
          <w:sz w:val="20"/>
          <w:szCs w:val="20"/>
          <w:color w:val="auto"/>
        </w:rPr>
      </w:pPr>
    </w:p>
    <w:p>
      <w:pPr>
        <w:ind w:left="420" w:right="60" w:hanging="252"/>
        <w:spacing w:after="0" w:line="228" w:lineRule="auto"/>
        <w:tabs>
          <w:tab w:leader="none" w:pos="413" w:val="left"/>
        </w:tabs>
        <w:numPr>
          <w:ilvl w:val="0"/>
          <w:numId w:val="163"/>
        </w:numPr>
        <w:rPr>
          <w:rFonts w:ascii="Arial" w:cs="Arial" w:eastAsia="Arial" w:hAnsi="Arial"/>
          <w:sz w:val="15"/>
          <w:szCs w:val="15"/>
          <w:color w:val="auto"/>
        </w:rPr>
      </w:pPr>
      <w:r>
        <w:rPr>
          <w:rFonts w:ascii="Arial" w:cs="Arial" w:eastAsia="Arial" w:hAnsi="Arial"/>
          <w:sz w:val="16"/>
          <w:szCs w:val="16"/>
          <w:color w:val="auto"/>
        </w:rPr>
        <w:t>The maximum number of shares of Common Stock reserved for issuance under the Plan shall be 4,000,000 shares (subject to adjustment as provided in Section 5), as increased on the first day of each fiscal year of the Company beginning in calendar year 2022 by a number of shares of Common Stock equal to the excess, if any, of (x) 4,000,000 shares of Common Stock, over (y) the number of shares of Common Stock reserved and available for issuance in respect of future grants of Awards under the Plan as of the last day of the immediately preceding fiscal year.</w:t>
      </w:r>
    </w:p>
    <w:p>
      <w:pPr>
        <w:spacing w:after="0" w:line="39" w:lineRule="exact"/>
        <w:rPr>
          <w:rFonts w:ascii="Arial" w:cs="Arial" w:eastAsia="Arial" w:hAnsi="Arial"/>
          <w:sz w:val="15"/>
          <w:szCs w:val="15"/>
          <w:color w:val="auto"/>
        </w:rPr>
      </w:pPr>
    </w:p>
    <w:p>
      <w:pPr>
        <w:ind w:left="420" w:hanging="252"/>
        <w:spacing w:after="0"/>
        <w:tabs>
          <w:tab w:leader="none" w:pos="411" w:val="left"/>
        </w:tabs>
        <w:numPr>
          <w:ilvl w:val="0"/>
          <w:numId w:val="163"/>
        </w:numPr>
        <w:rPr>
          <w:rFonts w:ascii="Arial" w:cs="Arial" w:eastAsia="Arial" w:hAnsi="Arial"/>
          <w:sz w:val="14"/>
          <w:szCs w:val="14"/>
          <w:color w:val="auto"/>
        </w:rPr>
      </w:pPr>
      <w:r>
        <w:rPr>
          <w:rFonts w:ascii="Arial" w:cs="Arial" w:eastAsia="Arial" w:hAnsi="Arial"/>
          <w:sz w:val="15"/>
          <w:szCs w:val="15"/>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Awards under the Plan. Shares that are exchanged by a Participant or withheld by the Company as full or partial payment in connection with the exercise of any Option or Stock Appreciation Right under the Plan or the payment of</w:t>
      </w:r>
    </w:p>
    <w:p>
      <w:pPr>
        <w:sectPr>
          <w:pgSz w:w="11900" w:h="16838" w:orient="portrait"/>
          <w:cols w:equalWidth="0" w:num="1">
            <w:col w:w="11180"/>
          </w:cols>
          <w:pgMar w:left="380" w:top="1139" w:right="339" w:bottom="1440" w:gutter="0" w:footer="0" w:header="0"/>
        </w:sectPr>
      </w:pPr>
    </w:p>
    <w:bookmarkStart w:id="266" w:name="page267"/>
    <w:bookmarkEnd w:id="266"/>
    <w:p>
      <w:pPr>
        <w:ind w:left="420"/>
        <w:spacing w:after="0"/>
        <w:rPr>
          <w:sz w:val="20"/>
          <w:szCs w:val="20"/>
          <w:color w:val="auto"/>
        </w:rPr>
      </w:pPr>
      <w:r>
        <w:rPr>
          <w:rFonts w:ascii="Arial" w:cs="Arial" w:eastAsia="Arial" w:hAnsi="Arial"/>
          <w:sz w:val="15"/>
          <w:szCs w:val="15"/>
          <w:color w:val="auto"/>
        </w:rPr>
        <w:t>any purchase price with respect to any other Award under the Plan, as well as any Shares exchanged by a Participant or withheld by the Company or any Subsidiary to satisfy the tax withholding obligations related to any Award under the Plan, shall not be available for subsequent Awards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w:t>
      </w:r>
    </w:p>
    <w:p>
      <w:pPr>
        <w:spacing w:after="0" w:line="40" w:lineRule="exact"/>
        <w:rPr>
          <w:sz w:val="20"/>
          <w:szCs w:val="20"/>
          <w:color w:val="auto"/>
        </w:rPr>
      </w:pPr>
    </w:p>
    <w:p>
      <w:pPr>
        <w:ind w:left="420" w:right="140" w:hanging="252"/>
        <w:spacing w:after="0" w:line="222" w:lineRule="auto"/>
        <w:tabs>
          <w:tab w:leader="none" w:pos="413" w:val="left"/>
        </w:tabs>
        <w:numPr>
          <w:ilvl w:val="0"/>
          <w:numId w:val="164"/>
        </w:numPr>
        <w:rPr>
          <w:rFonts w:ascii="Arial" w:cs="Arial" w:eastAsia="Arial" w:hAnsi="Arial"/>
          <w:sz w:val="15"/>
          <w:szCs w:val="15"/>
          <w:color w:val="auto"/>
        </w:rPr>
      </w:pPr>
      <w:r>
        <w:rPr>
          <w:rFonts w:ascii="Arial" w:cs="Arial" w:eastAsia="Arial" w:hAnsi="Arial"/>
          <w:sz w:val="16"/>
          <w:szCs w:val="16"/>
          <w:color w:val="auto"/>
        </w:rPr>
        <w:t>No Participant who is a non-employee director of the Company shall be granted Awards during any calendar year that, when aggregated with such non-employee director’s cash fees with respect to such calendar year, exceed $750,000 in total value (calculating the value of any such Awards based on the grant date fair value of such Awards for the Company’s financial reporting purposes). The Administrator may make exceptions to increase such limit to $1,000,000 for an individual non-employee director in extraordinary circumstances, such as where a non-employee director serves as the non-executive chairman of the Board or lead independent director, or as a member of a special litigation or transactions committee of the Board, as the Administrator may determine in its sole discretion, provided that the non-employee director receiving such additional compensation may not participate in the decision to award such compensation involving such non-employee director.</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5. Equitable Adjustments.</w:t>
      </w:r>
    </w:p>
    <w:p>
      <w:pPr>
        <w:spacing w:after="0" w:line="66" w:lineRule="exact"/>
        <w:rPr>
          <w:sz w:val="20"/>
          <w:szCs w:val="20"/>
          <w:color w:val="auto"/>
        </w:rPr>
      </w:pPr>
    </w:p>
    <w:p>
      <w:pPr>
        <w:ind w:left="420" w:right="20" w:hanging="252"/>
        <w:spacing w:after="0" w:line="237" w:lineRule="auto"/>
        <w:tabs>
          <w:tab w:leader="none" w:pos="413" w:val="left"/>
        </w:tabs>
        <w:numPr>
          <w:ilvl w:val="0"/>
          <w:numId w:val="165"/>
        </w:numPr>
        <w:rPr>
          <w:rFonts w:ascii="Arial" w:cs="Arial" w:eastAsia="Arial" w:hAnsi="Arial"/>
          <w:sz w:val="14"/>
          <w:szCs w:val="14"/>
          <w:color w:val="auto"/>
        </w:rPr>
      </w:pPr>
      <w:r>
        <w:rPr>
          <w:rFonts w:ascii="Arial" w:cs="Arial" w:eastAsia="Arial" w:hAnsi="Arial"/>
          <w:sz w:val="15"/>
          <w:szCs w:val="15"/>
          <w:color w:val="auto"/>
        </w:rPr>
        <w:t xml:space="preserve">In the event of any Change in Capitalization (including a Change in Control), an equitable substitution or proportionate adjustment shall be made, in each case, as may be determined by the Administrator, in its sole discretion, in (i) the aggregate number of shares of Common Stock reserved for issuance under the Plan, (ii) the kind and number of securities subject to, and the Exercise Price or Base Price of, any outstanding Options and Stock Appreciation Rights granted under the Plan, (iii) the kind, number and purchase price of shares of Common Stock, or the amount of cash or amount or type of other property, subject to outstanding Restricted Stock, Restricted Stock Units, Stock Bonuses and Other Stock-Based Awards granted under the Plan or (iv) the Performance Goals and performance periods applicable to any Awards granted under the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fractional shares resulting from the adjustment shall be eliminated. Such other equitable substitutions or adjustments shall be made as may be determined by the Administrator, in its sole discretion.</w:t>
      </w:r>
    </w:p>
    <w:p>
      <w:pPr>
        <w:spacing w:after="0" w:line="38" w:lineRule="exact"/>
        <w:rPr>
          <w:rFonts w:ascii="Arial" w:cs="Arial" w:eastAsia="Arial" w:hAnsi="Arial"/>
          <w:sz w:val="14"/>
          <w:szCs w:val="14"/>
          <w:color w:val="auto"/>
        </w:rPr>
      </w:pPr>
    </w:p>
    <w:p>
      <w:pPr>
        <w:ind w:left="420" w:hanging="252"/>
        <w:spacing w:after="0" w:line="223" w:lineRule="auto"/>
        <w:tabs>
          <w:tab w:leader="none" w:pos="411" w:val="left"/>
        </w:tabs>
        <w:numPr>
          <w:ilvl w:val="0"/>
          <w:numId w:val="165"/>
        </w:numPr>
        <w:rPr>
          <w:rFonts w:ascii="Arial" w:cs="Arial" w:eastAsia="Arial" w:hAnsi="Arial"/>
          <w:sz w:val="15"/>
          <w:szCs w:val="15"/>
          <w:color w:val="auto"/>
        </w:rPr>
      </w:pPr>
      <w:r>
        <w:rPr>
          <w:rFonts w:ascii="Arial" w:cs="Arial" w:eastAsia="Arial" w:hAnsi="Arial"/>
          <w:sz w:val="16"/>
          <w:szCs w:val="16"/>
          <w:color w:val="auto"/>
        </w:rPr>
        <w:t xml:space="preserve">Without limiting the generality of the foregoing, in connection with a Change in Capitalization (including a Change in Control),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of Common Stock, cash or other property covered by such Award, reduced by the aggregate Exercise Price or Base Price thereof,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Exercise Price or Base Price of any outstanding Award is equal to or greater than the Fair Market Value of the shares of Common Stock, cash or other property covered by such Award, the Administrator may cancel such Award without the payment of any consideration to the Participant.</w:t>
      </w:r>
    </w:p>
    <w:p>
      <w:pPr>
        <w:spacing w:after="0" w:line="41" w:lineRule="exact"/>
        <w:rPr>
          <w:rFonts w:ascii="Arial" w:cs="Arial" w:eastAsia="Arial" w:hAnsi="Arial"/>
          <w:sz w:val="15"/>
          <w:szCs w:val="15"/>
          <w:color w:val="auto"/>
        </w:rPr>
      </w:pPr>
    </w:p>
    <w:p>
      <w:pPr>
        <w:ind w:left="400" w:hanging="232"/>
        <w:spacing w:after="0"/>
        <w:tabs>
          <w:tab w:leader="none" w:pos="400" w:val="left"/>
        </w:tabs>
        <w:numPr>
          <w:ilvl w:val="0"/>
          <w:numId w:val="165"/>
        </w:numPr>
        <w:rPr>
          <w:rFonts w:ascii="Arial" w:cs="Arial" w:eastAsia="Arial" w:hAnsi="Arial"/>
          <w:sz w:val="15"/>
          <w:szCs w:val="15"/>
          <w:color w:val="auto"/>
        </w:rPr>
      </w:pPr>
      <w:r>
        <w:rPr>
          <w:rFonts w:ascii="Arial" w:cs="Arial" w:eastAsia="Arial" w:hAnsi="Arial"/>
          <w:sz w:val="16"/>
          <w:szCs w:val="16"/>
          <w:color w:val="auto"/>
        </w:rPr>
        <w:t>The determinations made by the Administrator pursuant to this Section 5 shall be final, binding and conclusive.</w:t>
      </w:r>
    </w:p>
    <w:p>
      <w:pPr>
        <w:sectPr>
          <w:pgSz w:w="11900" w:h="16838" w:orient="portrait"/>
          <w:cols w:equalWidth="0" w:num="1">
            <w:col w:w="11180"/>
          </w:cols>
          <w:pgMar w:left="380" w:top="1138" w:right="339" w:bottom="1440" w:gutter="0" w:footer="0" w:header="0"/>
        </w:sectPr>
      </w:pPr>
    </w:p>
    <w:bookmarkStart w:id="267" w:name="page268"/>
    <w:bookmarkEnd w:id="267"/>
    <w:p>
      <w:pPr>
        <w:ind w:left="80"/>
        <w:spacing w:after="0"/>
        <w:rPr>
          <w:sz w:val="20"/>
          <w:szCs w:val="20"/>
          <w:color w:val="auto"/>
        </w:rPr>
      </w:pPr>
      <w:r>
        <w:rPr>
          <w:rFonts w:ascii="Arial" w:cs="Arial" w:eastAsia="Arial" w:hAnsi="Arial"/>
          <w:sz w:val="16"/>
          <w:szCs w:val="16"/>
          <w:b w:val="1"/>
          <w:bCs w:val="1"/>
          <w:color w:val="auto"/>
        </w:rPr>
        <w:t>Section 6. Eligibility.</w:t>
      </w:r>
    </w:p>
    <w:p>
      <w:pPr>
        <w:spacing w:after="0" w:line="66" w:lineRule="exact"/>
        <w:rPr>
          <w:sz w:val="20"/>
          <w:szCs w:val="20"/>
          <w:color w:val="auto"/>
        </w:rPr>
      </w:pPr>
    </w:p>
    <w:p>
      <w:pPr>
        <w:ind w:right="440" w:firstLine="575"/>
        <w:spacing w:after="0" w:line="245" w:lineRule="auto"/>
        <w:rPr>
          <w:sz w:val="20"/>
          <w:szCs w:val="20"/>
          <w:color w:val="auto"/>
        </w:rPr>
      </w:pPr>
      <w:r>
        <w:rPr>
          <w:rFonts w:ascii="Arial" w:cs="Arial" w:eastAsia="Arial" w:hAnsi="Arial"/>
          <w:sz w:val="16"/>
          <w:szCs w:val="16"/>
          <w:color w:val="auto"/>
        </w:rPr>
        <w:t>The Participants under the Plan shall be selected from time to time by the Administrator, in its sole discretion, from those individuals that qualify as Eligible Recipients.</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7. Options.</w:t>
      </w:r>
    </w:p>
    <w:p>
      <w:pPr>
        <w:spacing w:after="0" w:line="66" w:lineRule="exact"/>
        <w:rPr>
          <w:sz w:val="20"/>
          <w:szCs w:val="20"/>
          <w:color w:val="auto"/>
        </w:rPr>
      </w:pPr>
    </w:p>
    <w:p>
      <w:pPr>
        <w:ind w:left="500" w:right="60" w:hanging="252"/>
        <w:spacing w:after="0" w:line="222" w:lineRule="auto"/>
        <w:tabs>
          <w:tab w:leader="none" w:pos="493" w:val="left"/>
        </w:tabs>
        <w:numPr>
          <w:ilvl w:val="0"/>
          <w:numId w:val="166"/>
        </w:numPr>
        <w:rPr>
          <w:rFonts w:ascii="Arial" w:cs="Arial" w:eastAsia="Arial" w:hAnsi="Arial"/>
          <w:sz w:val="15"/>
          <w:szCs w:val="15"/>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39" w:lineRule="exact"/>
        <w:rPr>
          <w:rFonts w:ascii="Arial" w:cs="Arial" w:eastAsia="Arial" w:hAnsi="Arial"/>
          <w:sz w:val="15"/>
          <w:szCs w:val="15"/>
          <w:color w:val="auto"/>
        </w:rPr>
      </w:pPr>
    </w:p>
    <w:p>
      <w:pPr>
        <w:jc w:val="both"/>
        <w:ind w:left="500" w:hanging="252"/>
        <w:spacing w:after="0" w:line="233" w:lineRule="auto"/>
        <w:tabs>
          <w:tab w:leader="none" w:pos="491" w:val="left"/>
        </w:tabs>
        <w:numPr>
          <w:ilvl w:val="0"/>
          <w:numId w:val="166"/>
        </w:numPr>
        <w:rPr>
          <w:rFonts w:ascii="Arial" w:cs="Arial" w:eastAsia="Arial" w:hAnsi="Arial"/>
          <w:sz w:val="15"/>
          <w:szCs w:val="15"/>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Shares purchasable under an Option shall be determined by the Administrator in its sole discretion at the time of grant, but, except as provided in the applicable Award Agreement, in no event shall the exercise price of an Option be less than one hundred percent (100%) of the Fair Market Value of the related shares of Common Stock on the date of grant.</w:t>
      </w:r>
    </w:p>
    <w:p>
      <w:pPr>
        <w:spacing w:after="0" w:line="38" w:lineRule="exact"/>
        <w:rPr>
          <w:rFonts w:ascii="Arial" w:cs="Arial" w:eastAsia="Arial" w:hAnsi="Arial"/>
          <w:sz w:val="15"/>
          <w:szCs w:val="15"/>
          <w:color w:val="auto"/>
        </w:rPr>
      </w:pPr>
    </w:p>
    <w:p>
      <w:pPr>
        <w:ind w:left="500" w:right="20" w:hanging="252"/>
        <w:spacing w:after="0" w:line="278" w:lineRule="auto"/>
        <w:tabs>
          <w:tab w:leader="none" w:pos="493" w:val="left"/>
        </w:tabs>
        <w:numPr>
          <w:ilvl w:val="0"/>
          <w:numId w:val="166"/>
        </w:numPr>
        <w:rPr>
          <w:rFonts w:ascii="Arial" w:cs="Arial" w:eastAsia="Arial" w:hAnsi="Arial"/>
          <w:sz w:val="14"/>
          <w:szCs w:val="14"/>
          <w:color w:val="auto"/>
        </w:rPr>
      </w:pPr>
      <w:r>
        <w:rPr>
          <w:rFonts w:ascii="Arial" w:cs="Arial" w:eastAsia="Arial" w:hAnsi="Arial"/>
          <w:sz w:val="15"/>
          <w:szCs w:val="15"/>
          <w:u w:val="single" w:color="auto"/>
          <w:color w:val="auto"/>
        </w:rPr>
        <w:t>Option Term</w:t>
      </w:r>
      <w:r>
        <w:rPr>
          <w:rFonts w:ascii="Arial" w:cs="Arial" w:eastAsia="Arial" w:hAnsi="Arial"/>
          <w:sz w:val="15"/>
          <w:szCs w:val="15"/>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10" w:lineRule="exact"/>
        <w:rPr>
          <w:rFonts w:ascii="Arial" w:cs="Arial" w:eastAsia="Arial" w:hAnsi="Arial"/>
          <w:sz w:val="14"/>
          <w:szCs w:val="14"/>
          <w:color w:val="auto"/>
        </w:rPr>
      </w:pPr>
    </w:p>
    <w:p>
      <w:pPr>
        <w:ind w:left="500" w:right="40" w:hanging="252"/>
        <w:spacing w:after="0" w:line="244" w:lineRule="auto"/>
        <w:tabs>
          <w:tab w:leader="none" w:pos="491" w:val="left"/>
        </w:tabs>
        <w:numPr>
          <w:ilvl w:val="0"/>
          <w:numId w:val="166"/>
        </w:numPr>
        <w:rPr>
          <w:rFonts w:ascii="Arial" w:cs="Arial" w:eastAsia="Arial" w:hAnsi="Arial"/>
          <w:sz w:val="14"/>
          <w:szCs w:val="14"/>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37" w:lineRule="exact"/>
        <w:rPr>
          <w:rFonts w:ascii="Arial" w:cs="Arial" w:eastAsia="Arial" w:hAnsi="Arial"/>
          <w:sz w:val="14"/>
          <w:szCs w:val="14"/>
          <w:color w:val="auto"/>
        </w:rPr>
      </w:pPr>
    </w:p>
    <w:p>
      <w:pPr>
        <w:ind w:left="500" w:hanging="252"/>
        <w:spacing w:after="0" w:line="222" w:lineRule="auto"/>
        <w:tabs>
          <w:tab w:leader="none" w:pos="493" w:val="left"/>
        </w:tabs>
        <w:numPr>
          <w:ilvl w:val="0"/>
          <w:numId w:val="166"/>
        </w:numPr>
        <w:rPr>
          <w:rFonts w:ascii="Arial" w:cs="Arial" w:eastAsia="Arial" w:hAnsi="Arial"/>
          <w:sz w:val="15"/>
          <w:szCs w:val="15"/>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 or (iv) any combination of the foregoing.</w:t>
      </w:r>
    </w:p>
    <w:p>
      <w:pPr>
        <w:spacing w:after="0" w:line="39" w:lineRule="exact"/>
        <w:rPr>
          <w:rFonts w:ascii="Arial" w:cs="Arial" w:eastAsia="Arial" w:hAnsi="Arial"/>
          <w:sz w:val="15"/>
          <w:szCs w:val="15"/>
          <w:color w:val="auto"/>
        </w:rPr>
      </w:pPr>
    </w:p>
    <w:p>
      <w:pPr>
        <w:ind w:left="500" w:right="200" w:hanging="252"/>
        <w:spacing w:after="0" w:line="245" w:lineRule="auto"/>
        <w:tabs>
          <w:tab w:leader="none" w:pos="496" w:val="left"/>
        </w:tabs>
        <w:numPr>
          <w:ilvl w:val="0"/>
          <w:numId w:val="166"/>
        </w:numPr>
        <w:rPr>
          <w:rFonts w:ascii="Arial" w:cs="Arial" w:eastAsia="Arial" w:hAnsi="Arial"/>
          <w:sz w:val="15"/>
          <w:szCs w:val="15"/>
          <w:color w:val="auto"/>
        </w:rPr>
      </w:pPr>
      <w:r>
        <w:rPr>
          <w:rFonts w:ascii="Arial" w:cs="Arial" w:eastAsia="Arial" w:hAnsi="Arial"/>
          <w:sz w:val="16"/>
          <w:szCs w:val="16"/>
          <w:u w:val="single" w:color="auto"/>
          <w:color w:val="auto"/>
        </w:rPr>
        <w:t>ISOs</w:t>
      </w:r>
      <w:r>
        <w:rPr>
          <w:rFonts w:ascii="Arial" w:cs="Arial" w:eastAsia="Arial" w:hAnsi="Arial"/>
          <w:sz w:val="16"/>
          <w:szCs w:val="16"/>
          <w:color w:val="auto"/>
        </w:rPr>
        <w:t>. The terms and conditions of ISOs granted hereunder shall be subject to the provisions of Section 422 of the Code and the terms, conditions, limitations and administrative procedures established by the Administrator from time to time in</w:t>
      </w:r>
    </w:p>
    <w:p>
      <w:pPr>
        <w:sectPr>
          <w:pgSz w:w="11900" w:h="16838" w:orient="portrait"/>
          <w:cols w:equalWidth="0" w:num="1">
            <w:col w:w="11280"/>
          </w:cols>
          <w:pgMar w:left="300" w:top="1145" w:right="319" w:bottom="1440" w:gutter="0" w:footer="0" w:header="0"/>
        </w:sectPr>
      </w:pPr>
    </w:p>
    <w:bookmarkStart w:id="268" w:name="page269"/>
    <w:bookmarkEnd w:id="268"/>
    <w:p>
      <w:pPr>
        <w:ind w:left="420" w:right="100"/>
        <w:spacing w:after="0" w:line="233" w:lineRule="auto"/>
        <w:rPr>
          <w:sz w:val="20"/>
          <w:szCs w:val="20"/>
          <w:color w:val="auto"/>
        </w:rPr>
      </w:pPr>
      <w:r>
        <w:rPr>
          <w:rFonts w:ascii="Arial" w:cs="Arial" w:eastAsia="Arial" w:hAnsi="Arial"/>
          <w:sz w:val="16"/>
          <w:szCs w:val="16"/>
          <w:color w:val="auto"/>
        </w:rPr>
        <w:t>accordance with the Plan. At the discretion of the Administrator, ISOs may be granted only to an employee of the Company, its “parent corporation” (as such term is defined in Section 424(e) of the Code) or a Subsidiary of the Company. All of the shares of Common Stock reserved for issuance under the Plan pursuant to Section 4(a) hereof (subject to adjustment as provided in Section 5 hereof) may be granted as ISOs.</w:t>
      </w:r>
    </w:p>
    <w:p>
      <w:pPr>
        <w:spacing w:after="0" w:line="305" w:lineRule="exact"/>
        <w:rPr>
          <w:sz w:val="20"/>
          <w:szCs w:val="20"/>
          <w:color w:val="auto"/>
        </w:rPr>
      </w:pPr>
    </w:p>
    <w:p>
      <w:pPr>
        <w:ind w:left="900" w:right="60" w:hanging="319"/>
        <w:spacing w:after="0" w:line="244" w:lineRule="auto"/>
        <w:tabs>
          <w:tab w:leader="none" w:pos="900" w:val="left"/>
        </w:tabs>
        <w:numPr>
          <w:ilvl w:val="1"/>
          <w:numId w:val="167"/>
        </w:numPr>
        <w:rPr>
          <w:rFonts w:ascii="Arial" w:cs="Arial" w:eastAsia="Arial" w:hAnsi="Arial"/>
          <w:sz w:val="14"/>
          <w:szCs w:val="14"/>
          <w:color w:val="auto"/>
        </w:rPr>
      </w:pPr>
      <w:r>
        <w:rPr>
          <w:rFonts w:ascii="Arial" w:cs="Arial" w:eastAsia="Arial" w:hAnsi="Arial"/>
          <w:sz w:val="15"/>
          <w:szCs w:val="15"/>
          <w:u w:val="single" w:color="auto"/>
          <w:color w:val="auto"/>
        </w:rPr>
        <w:t>ISO Grants to 10% Stockholders</w:t>
      </w:r>
      <w:r>
        <w:rPr>
          <w:rFonts w:ascii="Arial" w:cs="Arial" w:eastAsia="Arial" w:hAnsi="Arial"/>
          <w:sz w:val="15"/>
          <w:szCs w:val="15"/>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37" w:lineRule="exact"/>
        <w:rPr>
          <w:rFonts w:ascii="Arial" w:cs="Arial" w:eastAsia="Arial" w:hAnsi="Arial"/>
          <w:sz w:val="14"/>
          <w:szCs w:val="14"/>
          <w:color w:val="auto"/>
        </w:rPr>
      </w:pPr>
    </w:p>
    <w:p>
      <w:pPr>
        <w:ind w:left="900" w:right="200" w:hanging="360"/>
        <w:spacing w:after="0" w:line="233" w:lineRule="auto"/>
        <w:tabs>
          <w:tab w:leader="none" w:pos="900" w:val="left"/>
        </w:tabs>
        <w:numPr>
          <w:ilvl w:val="1"/>
          <w:numId w:val="167"/>
        </w:numPr>
        <w:rPr>
          <w:rFonts w:ascii="Arial" w:cs="Arial" w:eastAsia="Arial" w:hAnsi="Arial"/>
          <w:sz w:val="15"/>
          <w:szCs w:val="15"/>
          <w:color w:val="auto"/>
        </w:rPr>
      </w:pPr>
      <w:r>
        <w:rPr>
          <w:rFonts w:ascii="Arial" w:cs="Arial" w:eastAsia="Arial" w:hAnsi="Arial"/>
          <w:sz w:val="16"/>
          <w:szCs w:val="16"/>
          <w:u w:val="single" w:color="auto"/>
          <w:color w:val="auto"/>
        </w:rPr>
        <w:t>$100,000 Per Year Limitation For ISOs</w:t>
      </w:r>
      <w:r>
        <w:rPr>
          <w:rFonts w:ascii="Arial" w:cs="Arial" w:eastAsia="Arial" w:hAnsi="Arial"/>
          <w:sz w:val="16"/>
          <w:szCs w:val="16"/>
          <w:color w:val="auto"/>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spacing w:after="0" w:line="38" w:lineRule="exact"/>
        <w:rPr>
          <w:rFonts w:ascii="Arial" w:cs="Arial" w:eastAsia="Arial" w:hAnsi="Arial"/>
          <w:sz w:val="15"/>
          <w:szCs w:val="15"/>
          <w:color w:val="auto"/>
        </w:rPr>
      </w:pPr>
    </w:p>
    <w:p>
      <w:pPr>
        <w:ind w:left="900" w:right="60" w:hanging="402"/>
        <w:spacing w:after="0" w:line="238" w:lineRule="auto"/>
        <w:tabs>
          <w:tab w:leader="none" w:pos="900" w:val="left"/>
        </w:tabs>
        <w:numPr>
          <w:ilvl w:val="1"/>
          <w:numId w:val="167"/>
        </w:numPr>
        <w:rPr>
          <w:rFonts w:ascii="Arial" w:cs="Arial" w:eastAsia="Arial" w:hAnsi="Arial"/>
          <w:sz w:val="14"/>
          <w:szCs w:val="14"/>
          <w:color w:val="auto"/>
        </w:rPr>
      </w:pPr>
      <w:r>
        <w:rPr>
          <w:rFonts w:ascii="Arial" w:cs="Arial" w:eastAsia="Arial" w:hAnsi="Arial"/>
          <w:sz w:val="15"/>
          <w:szCs w:val="15"/>
          <w:u w:val="single" w:color="auto"/>
          <w:color w:val="auto"/>
        </w:rPr>
        <w:t>Disqualifying Dispositions</w:t>
      </w:r>
      <w:r>
        <w:rPr>
          <w:rFonts w:ascii="Arial" w:cs="Arial" w:eastAsia="Arial" w:hAnsi="Arial"/>
          <w:sz w:val="15"/>
          <w:szCs w:val="15"/>
          <w:color w:val="auto"/>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40" w:lineRule="exact"/>
        <w:rPr>
          <w:rFonts w:ascii="Arial" w:cs="Arial" w:eastAsia="Arial" w:hAnsi="Arial"/>
          <w:sz w:val="14"/>
          <w:szCs w:val="14"/>
          <w:color w:val="auto"/>
        </w:rPr>
      </w:pPr>
    </w:p>
    <w:p>
      <w:pPr>
        <w:jc w:val="both"/>
        <w:ind w:left="420" w:right="60" w:hanging="252"/>
        <w:spacing w:after="0" w:line="233" w:lineRule="auto"/>
        <w:tabs>
          <w:tab w:leader="none" w:pos="411" w:val="left"/>
        </w:tabs>
        <w:numPr>
          <w:ilvl w:val="0"/>
          <w:numId w:val="168"/>
        </w:numPr>
        <w:rPr>
          <w:rFonts w:ascii="Arial" w:cs="Arial" w:eastAsia="Arial" w:hAnsi="Arial"/>
          <w:sz w:val="15"/>
          <w:szCs w:val="15"/>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provided in the applicable Award Agreement, a Participant shall have no rights to dividends, dividend equivalents or distributions or any other rights of a stockholder with respect to the Shares subject to an Option until the Participant has given written notice of the exercise thereof, has paid in full for such Shares and has satisfied the requirements of Section 17 hereof.</w:t>
      </w:r>
    </w:p>
    <w:p>
      <w:pPr>
        <w:spacing w:after="0" w:line="38" w:lineRule="exact"/>
        <w:rPr>
          <w:rFonts w:ascii="Arial" w:cs="Arial" w:eastAsia="Arial" w:hAnsi="Arial"/>
          <w:sz w:val="15"/>
          <w:szCs w:val="15"/>
          <w:color w:val="auto"/>
        </w:rPr>
      </w:pPr>
    </w:p>
    <w:p>
      <w:pPr>
        <w:ind w:left="420" w:right="140" w:hanging="252"/>
        <w:spacing w:after="0" w:line="233" w:lineRule="auto"/>
        <w:tabs>
          <w:tab w:leader="none" w:pos="411" w:val="left"/>
        </w:tabs>
        <w:numPr>
          <w:ilvl w:val="0"/>
          <w:numId w:val="168"/>
        </w:numPr>
        <w:rPr>
          <w:rFonts w:ascii="Arial" w:cs="Arial" w:eastAsia="Arial" w:hAnsi="Arial"/>
          <w:sz w:val="15"/>
          <w:szCs w:val="15"/>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38" w:lineRule="exact"/>
        <w:rPr>
          <w:rFonts w:ascii="Arial" w:cs="Arial" w:eastAsia="Arial" w:hAnsi="Arial"/>
          <w:sz w:val="15"/>
          <w:szCs w:val="15"/>
          <w:color w:val="auto"/>
        </w:rPr>
      </w:pPr>
    </w:p>
    <w:p>
      <w:pPr>
        <w:ind w:left="420" w:hanging="252"/>
        <w:spacing w:after="0" w:line="233" w:lineRule="auto"/>
        <w:tabs>
          <w:tab w:leader="none" w:pos="418" w:val="left"/>
        </w:tabs>
        <w:numPr>
          <w:ilvl w:val="0"/>
          <w:numId w:val="168"/>
        </w:numPr>
        <w:rPr>
          <w:rFonts w:ascii="Arial" w:cs="Arial" w:eastAsia="Arial" w:hAnsi="Arial"/>
          <w:sz w:val="15"/>
          <w:szCs w:val="15"/>
          <w:color w:val="auto"/>
        </w:rPr>
      </w:pPr>
      <w:r>
        <w:rPr>
          <w:rFonts w:ascii="Arial" w:cs="Arial" w:eastAsia="Arial" w:hAnsi="Arial"/>
          <w:sz w:val="16"/>
          <w:szCs w:val="16"/>
          <w:u w:val="single" w:color="auto"/>
          <w:color w:val="auto"/>
        </w:rPr>
        <w:t>Other Change in Employment or Service Status</w:t>
      </w:r>
      <w:r>
        <w:rPr>
          <w:rFonts w:ascii="Arial" w:cs="Arial" w:eastAsia="Arial" w:hAnsi="Arial"/>
          <w:sz w:val="16"/>
          <w:szCs w:val="16"/>
          <w:color w:val="auto"/>
        </w:rPr>
        <w:t>. An Option shall be affected, both with regard to vesting schedule and termination, by leaves of absence, including unpaid and un- protected leaves of absence, changes from full-time to part-time employment, partial Disability or other changes in the employment status or service status of a Participant, in the discretion of the Administrator.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8. Stock Appreciation Rights.</w:t>
      </w:r>
    </w:p>
    <w:p>
      <w:pPr>
        <w:spacing w:after="0" w:line="66" w:lineRule="exact"/>
        <w:rPr>
          <w:sz w:val="20"/>
          <w:szCs w:val="20"/>
          <w:color w:val="auto"/>
        </w:rPr>
      </w:pPr>
    </w:p>
    <w:p>
      <w:pPr>
        <w:ind w:left="420" w:right="240" w:hanging="252"/>
        <w:spacing w:after="0" w:line="245" w:lineRule="auto"/>
        <w:tabs>
          <w:tab w:leader="none" w:pos="413" w:val="left"/>
        </w:tabs>
        <w:numPr>
          <w:ilvl w:val="0"/>
          <w:numId w:val="169"/>
        </w:numPr>
        <w:rPr>
          <w:rFonts w:ascii="Arial" w:cs="Arial" w:eastAsia="Arial" w:hAnsi="Arial"/>
          <w:sz w:val="15"/>
          <w:szCs w:val="15"/>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Stock Appreciation Rights may be granted either alone (“</w:t>
      </w:r>
      <w:r>
        <w:rPr>
          <w:rFonts w:ascii="Arial" w:cs="Arial" w:eastAsia="Arial" w:hAnsi="Arial"/>
          <w:sz w:val="16"/>
          <w:szCs w:val="16"/>
          <w:u w:val="single" w:color="auto"/>
          <w:color w:val="auto"/>
        </w:rPr>
        <w:t>Free Standing Rights</w:t>
      </w:r>
      <w:r>
        <w:rPr>
          <w:rFonts w:ascii="Arial" w:cs="Arial" w:eastAsia="Arial" w:hAnsi="Arial"/>
          <w:sz w:val="16"/>
          <w:szCs w:val="16"/>
          <w:color w:val="auto"/>
        </w:rPr>
        <w:t>”) or in conjunction with all or part of any Option granted under the Plan (“</w:t>
      </w:r>
      <w:r>
        <w:rPr>
          <w:rFonts w:ascii="Arial" w:cs="Arial" w:eastAsia="Arial" w:hAnsi="Arial"/>
          <w:sz w:val="16"/>
          <w:szCs w:val="16"/>
          <w:u w:val="single" w:color="auto"/>
          <w:color w:val="auto"/>
        </w:rPr>
        <w:t>Related</w:t>
      </w:r>
    </w:p>
    <w:p>
      <w:pPr>
        <w:sectPr>
          <w:pgSz w:w="11900" w:h="16838" w:orient="portrait"/>
          <w:cols w:equalWidth="0" w:num="1">
            <w:col w:w="11180"/>
          </w:cols>
          <w:pgMar w:left="380" w:top="1138" w:right="339" w:bottom="1440" w:gutter="0" w:footer="0" w:header="0"/>
        </w:sectPr>
      </w:pPr>
    </w:p>
    <w:bookmarkStart w:id="269" w:name="page270"/>
    <w:bookmarkEnd w:id="269"/>
    <w:p>
      <w:pPr>
        <w:jc w:val="both"/>
        <w:ind w:left="252" w:right="60"/>
        <w:spacing w:after="0" w:line="234" w:lineRule="auto"/>
        <w:rPr>
          <w:sz w:val="20"/>
          <w:szCs w:val="20"/>
          <w:color w:val="auto"/>
        </w:rPr>
      </w:pPr>
      <w:r>
        <w:rPr>
          <w:rFonts w:ascii="Arial" w:cs="Arial" w:eastAsia="Arial" w:hAnsi="Arial"/>
          <w:sz w:val="15"/>
          <w:szCs w:val="15"/>
          <w:u w:val="single" w:color="auto"/>
          <w:color w:val="auto"/>
        </w:rPr>
        <w:t>Rights</w:t>
      </w:r>
      <w:r>
        <w:rPr>
          <w:rFonts w:ascii="Arial" w:cs="Arial" w:eastAsia="Arial" w:hAnsi="Arial"/>
          <w:sz w:val="15"/>
          <w:szCs w:val="15"/>
          <w:color w:val="auto"/>
        </w:rPr>
        <w:t>”). Related Rights may be granted either at or after the time of the grant of such Option. The Administrator shall determine the Eligible Recipients to whom, and the time or times at which, grants of Stock Appreciation Rights shall be made, the number of Shares to be awarded, the Base Price, and all other conditions of Stock Appreciation Rights. Notwithstanding the foregoing, no Related Right may be granted for more Shares than are subject to the Option to which it relates.</w:t>
      </w:r>
    </w:p>
    <w:p>
      <w:pPr>
        <w:spacing w:after="0" w:line="2" w:lineRule="exact"/>
        <w:rPr>
          <w:sz w:val="20"/>
          <w:szCs w:val="20"/>
          <w:color w:val="auto"/>
        </w:rPr>
      </w:pPr>
    </w:p>
    <w:p>
      <w:pPr>
        <w:jc w:val="both"/>
        <w:ind w:left="252" w:right="60"/>
        <w:spacing w:after="0" w:line="294" w:lineRule="auto"/>
        <w:rPr>
          <w:sz w:val="20"/>
          <w:szCs w:val="20"/>
          <w:color w:val="auto"/>
        </w:rPr>
      </w:pPr>
      <w:r>
        <w:rPr>
          <w:rFonts w:ascii="Arial" w:cs="Arial" w:eastAsia="Arial" w:hAnsi="Arial"/>
          <w:sz w:val="14"/>
          <w:szCs w:val="14"/>
          <w:color w:val="auto"/>
        </w:rPr>
        <w:t>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2" w:lineRule="exact"/>
        <w:rPr>
          <w:sz w:val="20"/>
          <w:szCs w:val="20"/>
          <w:color w:val="auto"/>
        </w:rPr>
      </w:pPr>
    </w:p>
    <w:p>
      <w:pPr>
        <w:ind w:left="252" w:right="440" w:hanging="252"/>
        <w:spacing w:after="0" w:line="278" w:lineRule="auto"/>
        <w:tabs>
          <w:tab w:leader="none" w:pos="242" w:val="left"/>
        </w:tabs>
        <w:numPr>
          <w:ilvl w:val="0"/>
          <w:numId w:val="170"/>
        </w:numPr>
        <w:rPr>
          <w:rFonts w:ascii="Arial" w:cs="Arial" w:eastAsia="Arial" w:hAnsi="Arial"/>
          <w:sz w:val="14"/>
          <w:szCs w:val="14"/>
          <w:color w:val="auto"/>
        </w:rPr>
      </w:pPr>
      <w:r>
        <w:rPr>
          <w:rFonts w:ascii="Arial" w:cs="Arial" w:eastAsia="Arial" w:hAnsi="Arial"/>
          <w:sz w:val="15"/>
          <w:szCs w:val="15"/>
          <w:u w:val="single" w:color="auto"/>
          <w:color w:val="auto"/>
        </w:rPr>
        <w:t>Base Price</w:t>
      </w:r>
      <w:r>
        <w:rPr>
          <w:rFonts w:ascii="Arial" w:cs="Arial" w:eastAsia="Arial" w:hAnsi="Arial"/>
          <w:sz w:val="15"/>
          <w:szCs w:val="15"/>
          <w:color w:val="auto"/>
        </w:rPr>
        <w:t>. Except as provided in the applicable Award Agreement, each Stock Appreciation Right shall be granted with a base price that is not less than one hundred percent (100%) of the Fair Market Value of the related shares of Common Stock on the date of grant (such amount, the “</w:t>
      </w:r>
      <w:r>
        <w:rPr>
          <w:rFonts w:ascii="Arial" w:cs="Arial" w:eastAsia="Arial" w:hAnsi="Arial"/>
          <w:sz w:val="15"/>
          <w:szCs w:val="15"/>
          <w:u w:val="single" w:color="auto"/>
          <w:color w:val="auto"/>
        </w:rPr>
        <w:t>Base Price</w:t>
      </w:r>
      <w:r>
        <w:rPr>
          <w:rFonts w:ascii="Arial" w:cs="Arial" w:eastAsia="Arial" w:hAnsi="Arial"/>
          <w:sz w:val="15"/>
          <w:szCs w:val="15"/>
          <w:color w:val="auto"/>
        </w:rPr>
        <w:t>”).</w:t>
      </w:r>
    </w:p>
    <w:p>
      <w:pPr>
        <w:spacing w:after="0" w:line="10" w:lineRule="exact"/>
        <w:rPr>
          <w:rFonts w:ascii="Arial" w:cs="Arial" w:eastAsia="Arial" w:hAnsi="Arial"/>
          <w:sz w:val="14"/>
          <w:szCs w:val="14"/>
          <w:color w:val="auto"/>
        </w:rPr>
      </w:pPr>
    </w:p>
    <w:p>
      <w:pPr>
        <w:ind w:left="252" w:right="40" w:hanging="252"/>
        <w:spacing w:after="0" w:line="233" w:lineRule="auto"/>
        <w:tabs>
          <w:tab w:leader="none" w:pos="244" w:val="left"/>
        </w:tabs>
        <w:numPr>
          <w:ilvl w:val="0"/>
          <w:numId w:val="170"/>
        </w:numPr>
        <w:rPr>
          <w:rFonts w:ascii="Arial" w:cs="Arial" w:eastAsia="Arial" w:hAnsi="Arial"/>
          <w:sz w:val="15"/>
          <w:szCs w:val="15"/>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provided in the applicable Award Agreement, a Participant shall have no rights to dividends, dividend equivalents or distributions or any other rights of a stockholder with respect to the Shares, if any, subject to a Stock Appreciation Right until the Participant has given written notice of the exercise thereof and has satisfied the requirements of Section 17 hereof.</w:t>
      </w:r>
    </w:p>
    <w:p>
      <w:pPr>
        <w:spacing w:after="0" w:line="48" w:lineRule="exact"/>
        <w:rPr>
          <w:rFonts w:ascii="Arial" w:cs="Arial" w:eastAsia="Arial" w:hAnsi="Arial"/>
          <w:sz w:val="15"/>
          <w:szCs w:val="15"/>
          <w:color w:val="auto"/>
        </w:rPr>
      </w:pPr>
    </w:p>
    <w:p>
      <w:pPr>
        <w:ind w:left="232" w:hanging="232"/>
        <w:spacing w:after="0"/>
        <w:tabs>
          <w:tab w:leader="none" w:pos="232" w:val="left"/>
        </w:tabs>
        <w:numPr>
          <w:ilvl w:val="0"/>
          <w:numId w:val="170"/>
        </w:numPr>
        <w:rPr>
          <w:rFonts w:ascii="Arial" w:cs="Arial" w:eastAsia="Arial" w:hAnsi="Arial"/>
          <w:sz w:val="15"/>
          <w:szCs w:val="15"/>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w:t>
      </w:r>
    </w:p>
    <w:p>
      <w:pPr>
        <w:spacing w:after="0" w:line="62" w:lineRule="exact"/>
        <w:rPr>
          <w:rFonts w:ascii="Arial" w:cs="Arial" w:eastAsia="Arial" w:hAnsi="Arial"/>
          <w:sz w:val="15"/>
          <w:szCs w:val="15"/>
          <w:color w:val="auto"/>
        </w:rPr>
      </w:pPr>
    </w:p>
    <w:p>
      <w:pPr>
        <w:ind w:left="732" w:right="400" w:hanging="239"/>
        <w:spacing w:after="0" w:line="245" w:lineRule="auto"/>
        <w:tabs>
          <w:tab w:leader="none" w:pos="732" w:val="left"/>
        </w:tabs>
        <w:numPr>
          <w:ilvl w:val="1"/>
          <w:numId w:val="170"/>
        </w:numPr>
        <w:rPr>
          <w:rFonts w:ascii="Arial" w:cs="Arial" w:eastAsia="Arial" w:hAnsi="Arial"/>
          <w:sz w:val="15"/>
          <w:szCs w:val="15"/>
          <w:color w:val="auto"/>
        </w:rPr>
      </w:pPr>
      <w:r>
        <w:rPr>
          <w:rFonts w:ascii="Arial" w:cs="Arial" w:eastAsia="Arial" w:hAnsi="Arial"/>
          <w:sz w:val="16"/>
          <w:szCs w:val="16"/>
          <w:color w:val="auto"/>
        </w:rPr>
        <w:t>Stock Appreciation Rights that are Free Standing Rights shall be exercisable at such time or times and subject to such terms and conditions as shall be determined by the Administrator in the applicable Award Agreement.</w:t>
      </w:r>
    </w:p>
    <w:p>
      <w:pPr>
        <w:spacing w:after="0" w:line="34" w:lineRule="exact"/>
        <w:rPr>
          <w:rFonts w:ascii="Arial" w:cs="Arial" w:eastAsia="Arial" w:hAnsi="Arial"/>
          <w:sz w:val="15"/>
          <w:szCs w:val="15"/>
          <w:color w:val="auto"/>
        </w:rPr>
      </w:pPr>
    </w:p>
    <w:p>
      <w:pPr>
        <w:ind w:left="732" w:hanging="239"/>
        <w:spacing w:after="0" w:line="245" w:lineRule="auto"/>
        <w:tabs>
          <w:tab w:leader="none" w:pos="732" w:val="left"/>
        </w:tabs>
        <w:numPr>
          <w:ilvl w:val="1"/>
          <w:numId w:val="170"/>
        </w:numPr>
        <w:rPr>
          <w:rFonts w:ascii="Arial" w:cs="Arial" w:eastAsia="Arial" w:hAnsi="Arial"/>
          <w:sz w:val="15"/>
          <w:szCs w:val="15"/>
          <w:color w:val="auto"/>
        </w:rPr>
      </w:pPr>
      <w:r>
        <w:rPr>
          <w:rFonts w:ascii="Arial" w:cs="Arial" w:eastAsia="Arial" w:hAnsi="Arial"/>
          <w:sz w:val="16"/>
          <w:szCs w:val="16"/>
          <w:color w:val="auto"/>
        </w:rPr>
        <w:t>Stock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44" w:lineRule="exact"/>
        <w:rPr>
          <w:rFonts w:ascii="Arial" w:cs="Arial" w:eastAsia="Arial" w:hAnsi="Arial"/>
          <w:sz w:val="15"/>
          <w:szCs w:val="15"/>
          <w:color w:val="auto"/>
        </w:rPr>
      </w:pPr>
    </w:p>
    <w:p>
      <w:pPr>
        <w:ind w:left="232" w:hanging="232"/>
        <w:spacing w:after="0"/>
        <w:tabs>
          <w:tab w:leader="none" w:pos="232" w:val="left"/>
        </w:tabs>
        <w:numPr>
          <w:ilvl w:val="0"/>
          <w:numId w:val="170"/>
        </w:numPr>
        <w:rPr>
          <w:rFonts w:ascii="Arial" w:cs="Arial" w:eastAsia="Arial" w:hAnsi="Arial"/>
          <w:sz w:val="15"/>
          <w:szCs w:val="15"/>
          <w:color w:val="auto"/>
        </w:rPr>
      </w:pPr>
      <w:r>
        <w:rPr>
          <w:rFonts w:ascii="Arial" w:cs="Arial" w:eastAsia="Arial" w:hAnsi="Arial"/>
          <w:sz w:val="16"/>
          <w:szCs w:val="16"/>
          <w:u w:val="single" w:color="auto"/>
          <w:color w:val="auto"/>
        </w:rPr>
        <w:t>Consideration Upon Exercise.</w:t>
      </w:r>
    </w:p>
    <w:p>
      <w:pPr>
        <w:spacing w:after="0" w:line="62" w:lineRule="exact"/>
        <w:rPr>
          <w:rFonts w:ascii="Arial" w:cs="Arial" w:eastAsia="Arial" w:hAnsi="Arial"/>
          <w:sz w:val="15"/>
          <w:szCs w:val="15"/>
          <w:color w:val="auto"/>
        </w:rPr>
      </w:pPr>
    </w:p>
    <w:p>
      <w:pPr>
        <w:ind w:left="732" w:right="140" w:hanging="239"/>
        <w:spacing w:after="0" w:line="233" w:lineRule="auto"/>
        <w:tabs>
          <w:tab w:leader="none" w:pos="732" w:val="left"/>
        </w:tabs>
        <w:numPr>
          <w:ilvl w:val="1"/>
          <w:numId w:val="170"/>
        </w:numPr>
        <w:rPr>
          <w:rFonts w:ascii="Arial" w:cs="Arial" w:eastAsia="Arial" w:hAnsi="Arial"/>
          <w:sz w:val="15"/>
          <w:szCs w:val="15"/>
          <w:color w:val="auto"/>
        </w:rPr>
      </w:pPr>
      <w:r>
        <w:rPr>
          <w:rFonts w:ascii="Arial" w:cs="Arial" w:eastAsia="Arial" w:hAnsi="Arial"/>
          <w:sz w:val="16"/>
          <w:szCs w:val="16"/>
          <w:color w:val="auto"/>
        </w:rPr>
        <w:t>Upon the exercise of a Free Standing Right, the Participant shall be entitled to receive up to, but not more than, that number of Shares equal in value to (i) the excess of the Fair Market Value of a share of Common Stock as of the date of exercise over the Base Price per share specified in the Free Standing Right, multiplied by (ii) the number of Shares in respect of which the Free Standing Right is being exercised.</w:t>
      </w:r>
    </w:p>
    <w:p>
      <w:pPr>
        <w:spacing w:after="0" w:line="38" w:lineRule="exact"/>
        <w:rPr>
          <w:rFonts w:ascii="Arial" w:cs="Arial" w:eastAsia="Arial" w:hAnsi="Arial"/>
          <w:sz w:val="15"/>
          <w:szCs w:val="15"/>
          <w:color w:val="auto"/>
        </w:rPr>
      </w:pPr>
    </w:p>
    <w:p>
      <w:pPr>
        <w:ind w:left="732" w:right="40" w:hanging="239"/>
        <w:spacing w:after="0" w:line="225" w:lineRule="auto"/>
        <w:tabs>
          <w:tab w:leader="none" w:pos="732" w:val="left"/>
        </w:tabs>
        <w:numPr>
          <w:ilvl w:val="1"/>
          <w:numId w:val="170"/>
        </w:numPr>
        <w:rPr>
          <w:rFonts w:ascii="Arial" w:cs="Arial" w:eastAsia="Arial" w:hAnsi="Arial"/>
          <w:sz w:val="15"/>
          <w:szCs w:val="15"/>
          <w:color w:val="auto"/>
        </w:rPr>
      </w:pPr>
      <w:r>
        <w:rPr>
          <w:rFonts w:ascii="Arial" w:cs="Arial" w:eastAsia="Arial" w:hAnsi="Arial"/>
          <w:sz w:val="16"/>
          <w:szCs w:val="16"/>
          <w:color w:val="auto"/>
        </w:rPr>
        <w:t>A Related Right may be exercised by a Participant by surrendering the applicable portion of the related Option. Upon such exercise and surrender, the Participant shall be entitled to receive up to, but not more than, that number of Shares equal in value to (i) the excess of the Fair Market Value of a share of Common Stock as of the date of exercise over the Exercise Price specified in the related Option, multiplied by (ii) the number of Shares in respect of which the Related Right is being exercised. Options which have been so surrendered, in whole or in part, shall no longer be exercisable to the extent the Related Rights have been so exercised.</w:t>
      </w:r>
    </w:p>
    <w:p>
      <w:pPr>
        <w:spacing w:after="0" w:line="40" w:lineRule="exact"/>
        <w:rPr>
          <w:rFonts w:ascii="Arial" w:cs="Arial" w:eastAsia="Arial" w:hAnsi="Arial"/>
          <w:sz w:val="15"/>
          <w:szCs w:val="15"/>
          <w:color w:val="auto"/>
        </w:rPr>
      </w:pPr>
    </w:p>
    <w:p>
      <w:pPr>
        <w:ind w:left="732" w:right="360" w:hanging="239"/>
        <w:spacing w:after="0" w:line="245" w:lineRule="auto"/>
        <w:tabs>
          <w:tab w:leader="none" w:pos="732" w:val="left"/>
        </w:tabs>
        <w:numPr>
          <w:ilvl w:val="1"/>
          <w:numId w:val="170"/>
        </w:numPr>
        <w:rPr>
          <w:rFonts w:ascii="Arial" w:cs="Arial" w:eastAsia="Arial" w:hAnsi="Arial"/>
          <w:sz w:val="15"/>
          <w:szCs w:val="15"/>
          <w:color w:val="auto"/>
        </w:rPr>
      </w:pPr>
      <w:r>
        <w:rPr>
          <w:rFonts w:ascii="Arial" w:cs="Arial" w:eastAsia="Arial" w:hAnsi="Arial"/>
          <w:sz w:val="16"/>
          <w:szCs w:val="16"/>
          <w:color w:val="auto"/>
        </w:rPr>
        <w:t>Notwithstanding the foregoing, the Administrator may determine to settle the exercise of a Stock Appreciation Right in cash (or in any combination of Shares and cash).</w:t>
      </w:r>
    </w:p>
    <w:p>
      <w:pPr>
        <w:sectPr>
          <w:pgSz w:w="11900" w:h="16838" w:orient="portrait"/>
          <w:cols w:equalWidth="0" w:num="1">
            <w:col w:w="10992"/>
          </w:cols>
          <w:pgMar w:left="548" w:top="1139" w:right="359" w:bottom="1440" w:gutter="0" w:footer="0" w:header="0"/>
        </w:sectPr>
      </w:pPr>
    </w:p>
    <w:bookmarkStart w:id="270" w:name="page271"/>
    <w:bookmarkEnd w:id="270"/>
    <w:p>
      <w:pPr>
        <w:ind w:left="420" w:hanging="252"/>
        <w:spacing w:after="0"/>
        <w:tabs>
          <w:tab w:leader="none" w:pos="420" w:val="left"/>
        </w:tabs>
        <w:numPr>
          <w:ilvl w:val="0"/>
          <w:numId w:val="171"/>
        </w:numPr>
        <w:rPr>
          <w:rFonts w:ascii="Arial" w:cs="Arial" w:eastAsia="Arial" w:hAnsi="Arial"/>
          <w:sz w:val="15"/>
          <w:szCs w:val="15"/>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w:t>
      </w:r>
    </w:p>
    <w:p>
      <w:pPr>
        <w:spacing w:after="0" w:line="62" w:lineRule="exact"/>
        <w:rPr>
          <w:rFonts w:ascii="Arial" w:cs="Arial" w:eastAsia="Arial" w:hAnsi="Arial"/>
          <w:sz w:val="15"/>
          <w:szCs w:val="15"/>
          <w:color w:val="auto"/>
        </w:rPr>
      </w:pPr>
    </w:p>
    <w:p>
      <w:pPr>
        <w:ind w:left="900" w:hanging="239"/>
        <w:spacing w:after="0" w:line="278" w:lineRule="auto"/>
        <w:tabs>
          <w:tab w:leader="none" w:pos="900" w:val="left"/>
        </w:tabs>
        <w:numPr>
          <w:ilvl w:val="1"/>
          <w:numId w:val="171"/>
        </w:numPr>
        <w:rPr>
          <w:rFonts w:ascii="Arial" w:cs="Arial" w:eastAsia="Arial" w:hAnsi="Arial"/>
          <w:sz w:val="14"/>
          <w:szCs w:val="14"/>
          <w:color w:val="auto"/>
        </w:rPr>
      </w:pPr>
      <w:r>
        <w:rPr>
          <w:rFonts w:ascii="Arial" w:cs="Arial" w:eastAsia="Arial" w:hAnsi="Arial"/>
          <w:sz w:val="15"/>
          <w:szCs w:val="15"/>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0" w:lineRule="exact"/>
        <w:rPr>
          <w:rFonts w:ascii="Arial" w:cs="Arial" w:eastAsia="Arial" w:hAnsi="Arial"/>
          <w:sz w:val="14"/>
          <w:szCs w:val="14"/>
          <w:color w:val="auto"/>
        </w:rPr>
      </w:pPr>
    </w:p>
    <w:p>
      <w:pPr>
        <w:ind w:left="900" w:right="340" w:hanging="239"/>
        <w:spacing w:after="0" w:line="313" w:lineRule="auto"/>
        <w:tabs>
          <w:tab w:leader="none" w:pos="900" w:val="left"/>
        </w:tabs>
        <w:numPr>
          <w:ilvl w:val="1"/>
          <w:numId w:val="171"/>
        </w:numPr>
        <w:rPr>
          <w:rFonts w:ascii="Arial" w:cs="Arial" w:eastAsia="Arial" w:hAnsi="Arial"/>
          <w:sz w:val="13"/>
          <w:szCs w:val="13"/>
          <w:color w:val="auto"/>
        </w:rPr>
      </w:pPr>
      <w:r>
        <w:rPr>
          <w:rFonts w:ascii="Arial" w:cs="Arial" w:eastAsia="Arial" w:hAnsi="Arial"/>
          <w:sz w:val="14"/>
          <w:szCs w:val="14"/>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ind w:left="400" w:hanging="232"/>
        <w:spacing w:after="0"/>
        <w:tabs>
          <w:tab w:leader="none" w:pos="400" w:val="left"/>
        </w:tabs>
        <w:numPr>
          <w:ilvl w:val="0"/>
          <w:numId w:val="171"/>
        </w:numPr>
        <w:rPr>
          <w:rFonts w:ascii="Arial" w:cs="Arial" w:eastAsia="Arial" w:hAnsi="Arial"/>
          <w:sz w:val="15"/>
          <w:szCs w:val="15"/>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62" w:lineRule="exact"/>
        <w:rPr>
          <w:rFonts w:ascii="Arial" w:cs="Arial" w:eastAsia="Arial" w:hAnsi="Arial"/>
          <w:sz w:val="15"/>
          <w:szCs w:val="15"/>
          <w:color w:val="auto"/>
        </w:rPr>
      </w:pPr>
    </w:p>
    <w:p>
      <w:pPr>
        <w:ind w:left="900" w:hanging="239"/>
        <w:spacing w:after="0" w:line="245" w:lineRule="auto"/>
        <w:tabs>
          <w:tab w:leader="none" w:pos="900" w:val="left"/>
        </w:tabs>
        <w:numPr>
          <w:ilvl w:val="1"/>
          <w:numId w:val="171"/>
        </w:numPr>
        <w:rPr>
          <w:rFonts w:ascii="Arial" w:cs="Arial" w:eastAsia="Arial" w:hAnsi="Arial"/>
          <w:sz w:val="15"/>
          <w:szCs w:val="15"/>
          <w:color w:val="auto"/>
        </w:rPr>
      </w:pPr>
      <w:r>
        <w:rPr>
          <w:rFonts w:ascii="Arial" w:cs="Arial" w:eastAsia="Arial" w:hAnsi="Arial"/>
          <w:sz w:val="16"/>
          <w:szCs w:val="16"/>
          <w:color w:val="auto"/>
        </w:rPr>
        <w:t>The term of each Free Standing Right shall be fixed by the Administrator, but no Free Standing Right shall be exercisable more than ten (10) years after the date such right is granted.</w:t>
      </w:r>
    </w:p>
    <w:p>
      <w:pPr>
        <w:spacing w:after="0" w:line="34" w:lineRule="exact"/>
        <w:rPr>
          <w:rFonts w:ascii="Arial" w:cs="Arial" w:eastAsia="Arial" w:hAnsi="Arial"/>
          <w:sz w:val="15"/>
          <w:szCs w:val="15"/>
          <w:color w:val="auto"/>
        </w:rPr>
      </w:pPr>
    </w:p>
    <w:p>
      <w:pPr>
        <w:ind w:left="900" w:right="220" w:hanging="239"/>
        <w:spacing w:after="0" w:line="245" w:lineRule="auto"/>
        <w:tabs>
          <w:tab w:leader="none" w:pos="900" w:val="left"/>
        </w:tabs>
        <w:numPr>
          <w:ilvl w:val="1"/>
          <w:numId w:val="171"/>
        </w:numPr>
        <w:rPr>
          <w:rFonts w:ascii="Arial" w:cs="Arial" w:eastAsia="Arial" w:hAnsi="Arial"/>
          <w:sz w:val="15"/>
          <w:szCs w:val="15"/>
          <w:color w:val="auto"/>
        </w:rPr>
      </w:pPr>
      <w:r>
        <w:rPr>
          <w:rFonts w:ascii="Arial" w:cs="Arial" w:eastAsia="Arial" w:hAnsi="Arial"/>
          <w:sz w:val="16"/>
          <w:szCs w:val="16"/>
          <w:color w:val="auto"/>
        </w:rPr>
        <w:t>The term of each Related Right shall be the term of the Option to which it relates, but no Related Right shall be exercisable more than ten (10) years after the date such right is granted.</w:t>
      </w:r>
    </w:p>
    <w:p>
      <w:pPr>
        <w:spacing w:after="0" w:line="34" w:lineRule="exact"/>
        <w:rPr>
          <w:rFonts w:ascii="Arial" w:cs="Arial" w:eastAsia="Arial" w:hAnsi="Arial"/>
          <w:sz w:val="15"/>
          <w:szCs w:val="15"/>
          <w:color w:val="auto"/>
        </w:rPr>
      </w:pPr>
    </w:p>
    <w:p>
      <w:pPr>
        <w:ind w:left="420" w:right="320" w:hanging="252"/>
        <w:spacing w:after="0" w:line="233" w:lineRule="auto"/>
        <w:tabs>
          <w:tab w:leader="none" w:pos="411" w:val="left"/>
        </w:tabs>
        <w:numPr>
          <w:ilvl w:val="0"/>
          <w:numId w:val="171"/>
        </w:numPr>
        <w:rPr>
          <w:rFonts w:ascii="Arial" w:cs="Arial" w:eastAsia="Arial" w:hAnsi="Arial"/>
          <w:sz w:val="15"/>
          <w:szCs w:val="15"/>
          <w:color w:val="auto"/>
        </w:rPr>
      </w:pPr>
      <w:r>
        <w:rPr>
          <w:rFonts w:ascii="Arial" w:cs="Arial" w:eastAsia="Arial" w:hAnsi="Arial"/>
          <w:sz w:val="16"/>
          <w:szCs w:val="16"/>
          <w:u w:val="single" w:color="auto"/>
          <w:color w:val="auto"/>
        </w:rPr>
        <w:t>Other Change in Employment or Service Status</w:t>
      </w:r>
      <w:r>
        <w:rPr>
          <w:rFonts w:ascii="Arial" w:cs="Arial" w:eastAsia="Arial" w:hAnsi="Arial"/>
          <w:sz w:val="16"/>
          <w:szCs w:val="16"/>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Restricted Stock and Restricted Stock Units.</w:t>
      </w:r>
    </w:p>
    <w:p>
      <w:pPr>
        <w:spacing w:after="0" w:line="66" w:lineRule="exact"/>
        <w:rPr>
          <w:sz w:val="20"/>
          <w:szCs w:val="20"/>
          <w:color w:val="auto"/>
        </w:rPr>
      </w:pPr>
    </w:p>
    <w:p>
      <w:pPr>
        <w:ind w:left="420" w:right="40" w:hanging="252"/>
        <w:spacing w:after="0" w:line="238" w:lineRule="auto"/>
        <w:tabs>
          <w:tab w:leader="none" w:pos="413" w:val="left"/>
        </w:tabs>
        <w:numPr>
          <w:ilvl w:val="0"/>
          <w:numId w:val="172"/>
        </w:numPr>
        <w:rPr>
          <w:rFonts w:ascii="Arial" w:cs="Arial" w:eastAsia="Arial" w:hAnsi="Arial"/>
          <w:sz w:val="14"/>
          <w:szCs w:val="14"/>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Restricted Stock and Restricted Stock Units (including Performance Stock Units) may be issued under the Plan. The Administrator shall determine the Eligible Recipients to whom, and the time or times at which, Restricted Stock or Restricted Stock Units shall be made; the number of Shares to be awarded; the price, if any, to be paid by the Participant for the acquisition of Restricted Stock or Restricted Stock Units; the period of time prior to which Restricted Stock or Restricted Stock Units become vested and free of restrictions on Transfer (the “</w:t>
      </w:r>
      <w:r>
        <w:rPr>
          <w:rFonts w:ascii="Arial" w:cs="Arial" w:eastAsia="Arial" w:hAnsi="Arial"/>
          <w:sz w:val="15"/>
          <w:szCs w:val="15"/>
          <w:u w:val="single" w:color="auto"/>
          <w:color w:val="auto"/>
        </w:rPr>
        <w:t>Restricted Period</w:t>
      </w:r>
      <w:r>
        <w:rPr>
          <w:rFonts w:ascii="Arial" w:cs="Arial" w:eastAsia="Arial" w:hAnsi="Arial"/>
          <w:sz w:val="15"/>
          <w:szCs w:val="15"/>
          <w:color w:val="auto"/>
        </w:rPr>
        <w:t>”); the Performance Goals (if any); and all other conditions of the Restricted Stock and Restricted Stock Units. If the restrictions, Performance Goals and/or conditions established by the Administrator are not attained, a Participant shall forfeit the Participant’s Restricted Stock or Restricted Stock Units, in accordance with the terms of the grant.</w:t>
      </w:r>
    </w:p>
    <w:p>
      <w:pPr>
        <w:spacing w:after="0" w:line="317" w:lineRule="exact"/>
        <w:rPr>
          <w:rFonts w:ascii="Arial" w:cs="Arial" w:eastAsia="Arial" w:hAnsi="Arial"/>
          <w:sz w:val="14"/>
          <w:szCs w:val="14"/>
          <w:color w:val="auto"/>
        </w:rPr>
      </w:pPr>
    </w:p>
    <w:p>
      <w:pPr>
        <w:ind w:left="400" w:hanging="232"/>
        <w:spacing w:after="0"/>
        <w:tabs>
          <w:tab w:leader="none" w:pos="400" w:val="left"/>
        </w:tabs>
        <w:numPr>
          <w:ilvl w:val="0"/>
          <w:numId w:val="172"/>
        </w:numPr>
        <w:rPr>
          <w:rFonts w:ascii="Arial" w:cs="Arial" w:eastAsia="Arial" w:hAnsi="Arial"/>
          <w:sz w:val="15"/>
          <w:szCs w:val="15"/>
          <w:color w:val="auto"/>
        </w:rPr>
      </w:pPr>
      <w:r>
        <w:rPr>
          <w:rFonts w:ascii="Arial" w:cs="Arial" w:eastAsia="Arial" w:hAnsi="Arial"/>
          <w:sz w:val="16"/>
          <w:szCs w:val="16"/>
          <w:u w:val="single" w:color="auto"/>
          <w:color w:val="auto"/>
        </w:rPr>
        <w:t>Awards and Certificates</w:t>
      </w:r>
      <w:r>
        <w:rPr>
          <w:rFonts w:ascii="Arial" w:cs="Arial" w:eastAsia="Arial" w:hAnsi="Arial"/>
          <w:sz w:val="16"/>
          <w:szCs w:val="16"/>
          <w:color w:val="auto"/>
        </w:rPr>
        <w:t>.</w:t>
      </w:r>
    </w:p>
    <w:p>
      <w:pPr>
        <w:spacing w:after="0" w:line="62" w:lineRule="exact"/>
        <w:rPr>
          <w:rFonts w:ascii="Arial" w:cs="Arial" w:eastAsia="Arial" w:hAnsi="Arial"/>
          <w:sz w:val="15"/>
          <w:szCs w:val="15"/>
          <w:color w:val="auto"/>
        </w:rPr>
      </w:pPr>
    </w:p>
    <w:p>
      <w:pPr>
        <w:ind w:left="900" w:right="20" w:hanging="239"/>
        <w:spacing w:after="0" w:line="223" w:lineRule="auto"/>
        <w:tabs>
          <w:tab w:leader="none" w:pos="900" w:val="left"/>
        </w:tabs>
        <w:numPr>
          <w:ilvl w:val="1"/>
          <w:numId w:val="172"/>
        </w:numPr>
        <w:rPr>
          <w:rFonts w:ascii="Arial" w:cs="Arial" w:eastAsia="Arial" w:hAnsi="Arial"/>
          <w:sz w:val="15"/>
          <w:szCs w:val="15"/>
          <w:color w:val="auto"/>
        </w:rPr>
      </w:pPr>
      <w:r>
        <w:rPr>
          <w:rFonts w:ascii="Arial" w:cs="Arial" w:eastAsia="Arial" w:hAnsi="Arial"/>
          <w:sz w:val="16"/>
          <w:szCs w:val="16"/>
          <w:color w:val="auto"/>
        </w:rPr>
        <w:t>Except as otherwise provided in Section 9(b)(3) hereof, (i) each Participant who is granted an Award of Restricted Stock may, in the Company’s sole discretion, be issued a stock certificate in respect of such Restricted Stock;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Stock granted hereunder be held in the custody of the Company until the restrictions thereon shall have lapsed, and that, as a condition of any award of Restricted Stock, the Participant shall have delivered a stock transfer form, endorsed in blank, relating to the Shares covered</w:t>
      </w:r>
    </w:p>
    <w:p>
      <w:pPr>
        <w:sectPr>
          <w:pgSz w:w="11900" w:h="16838" w:orient="portrait"/>
          <w:cols w:equalWidth="0" w:num="1">
            <w:col w:w="11200"/>
          </w:cols>
          <w:pgMar w:left="380" w:top="1149" w:right="319" w:bottom="1440" w:gutter="0" w:footer="0" w:header="0"/>
        </w:sectPr>
      </w:pPr>
    </w:p>
    <w:bookmarkStart w:id="271" w:name="page272"/>
    <w:bookmarkEnd w:id="271"/>
    <w:p>
      <w:pPr>
        <w:ind w:left="732" w:right="200"/>
        <w:spacing w:after="0" w:line="245" w:lineRule="auto"/>
        <w:rPr>
          <w:sz w:val="20"/>
          <w:szCs w:val="20"/>
          <w:color w:val="auto"/>
        </w:rPr>
      </w:pPr>
      <w:r>
        <w:rPr>
          <w:rFonts w:ascii="Arial" w:cs="Arial" w:eastAsia="Arial" w:hAnsi="Arial"/>
          <w:sz w:val="16"/>
          <w:szCs w:val="16"/>
          <w:color w:val="auto"/>
        </w:rPr>
        <w:t>by such award. Certificates for shares of unrestricted Common Stock may, in the Company’s sole discretion, be delivered to the Participant only after the Restricted Period has expired without forfeiture in respect of such Restricted Stock.</w:t>
      </w:r>
    </w:p>
    <w:p>
      <w:pPr>
        <w:spacing w:after="0" w:line="35" w:lineRule="exact"/>
        <w:rPr>
          <w:sz w:val="20"/>
          <w:szCs w:val="20"/>
          <w:color w:val="auto"/>
        </w:rPr>
      </w:pPr>
    </w:p>
    <w:p>
      <w:pPr>
        <w:ind w:left="732" w:right="60" w:hanging="239"/>
        <w:spacing w:after="0" w:line="253" w:lineRule="auto"/>
        <w:tabs>
          <w:tab w:leader="none" w:pos="732" w:val="left"/>
        </w:tabs>
        <w:numPr>
          <w:ilvl w:val="1"/>
          <w:numId w:val="173"/>
        </w:numPr>
        <w:rPr>
          <w:rFonts w:ascii="Arial" w:cs="Arial" w:eastAsia="Arial" w:hAnsi="Arial"/>
          <w:sz w:val="14"/>
          <w:szCs w:val="14"/>
          <w:color w:val="auto"/>
        </w:rPr>
      </w:pPr>
      <w:r>
        <w:rPr>
          <w:rFonts w:ascii="Arial" w:cs="Arial" w:eastAsia="Arial" w:hAnsi="Arial"/>
          <w:sz w:val="15"/>
          <w:szCs w:val="15"/>
          <w:color w:val="auto"/>
        </w:rPr>
        <w:t>With respect to an Award of Restricted Stock Units to be settled in Shares, at the expiration of the Restricted Period, stock certificates in respect of the shares of Common Stock underlying such Restricted Stock Units may, in the Company’s sole discretion, be delivered to the Participant, or the Participant’s legal representative, in a number equal to the number of shares of Common Stock underlying the Award of Restricted Stock Units.</w:t>
      </w:r>
    </w:p>
    <w:p>
      <w:pPr>
        <w:spacing w:after="0" w:line="28" w:lineRule="exact"/>
        <w:rPr>
          <w:rFonts w:ascii="Arial" w:cs="Arial" w:eastAsia="Arial" w:hAnsi="Arial"/>
          <w:sz w:val="14"/>
          <w:szCs w:val="14"/>
          <w:color w:val="auto"/>
        </w:rPr>
      </w:pPr>
    </w:p>
    <w:p>
      <w:pPr>
        <w:ind w:left="732" w:right="620" w:hanging="239"/>
        <w:spacing w:after="0" w:line="245" w:lineRule="auto"/>
        <w:tabs>
          <w:tab w:leader="none" w:pos="732" w:val="left"/>
        </w:tabs>
        <w:numPr>
          <w:ilvl w:val="1"/>
          <w:numId w:val="173"/>
        </w:numPr>
        <w:rPr>
          <w:rFonts w:ascii="Arial" w:cs="Arial" w:eastAsia="Arial" w:hAnsi="Arial"/>
          <w:sz w:val="15"/>
          <w:szCs w:val="15"/>
          <w:color w:val="auto"/>
        </w:rPr>
      </w:pPr>
      <w:r>
        <w:rPr>
          <w:rFonts w:ascii="Arial" w:cs="Arial" w:eastAsia="Arial" w:hAnsi="Arial"/>
          <w:sz w:val="16"/>
          <w:szCs w:val="16"/>
          <w:color w:val="auto"/>
        </w:rPr>
        <w:t>Notwithstanding anything in the Plan to the contrary, any Restricted Stock or Restricted Stock Units to be settled in Shares (at the expiration of the Restricted Period) may, in the Company’s sole discretion, be issued in uncertificated form.</w:t>
      </w:r>
    </w:p>
    <w:p>
      <w:pPr>
        <w:spacing w:after="0" w:line="34" w:lineRule="exact"/>
        <w:rPr>
          <w:rFonts w:ascii="Arial" w:cs="Arial" w:eastAsia="Arial" w:hAnsi="Arial"/>
          <w:sz w:val="15"/>
          <w:szCs w:val="15"/>
          <w:color w:val="auto"/>
        </w:rPr>
      </w:pPr>
    </w:p>
    <w:p>
      <w:pPr>
        <w:ind w:left="732" w:hanging="239"/>
        <w:spacing w:after="0" w:line="225" w:lineRule="auto"/>
        <w:tabs>
          <w:tab w:leader="none" w:pos="732" w:val="left"/>
        </w:tabs>
        <w:numPr>
          <w:ilvl w:val="1"/>
          <w:numId w:val="173"/>
        </w:numPr>
        <w:rPr>
          <w:rFonts w:ascii="Arial" w:cs="Arial" w:eastAsia="Arial" w:hAnsi="Arial"/>
          <w:sz w:val="15"/>
          <w:szCs w:val="15"/>
          <w:color w:val="auto"/>
        </w:rPr>
      </w:pPr>
      <w:r>
        <w:rPr>
          <w:rFonts w:ascii="Arial" w:cs="Arial" w:eastAsia="Arial" w:hAnsi="Arial"/>
          <w:sz w:val="16"/>
          <w:szCs w:val="16"/>
          <w:color w:val="auto"/>
        </w:rPr>
        <w:t>Further, notwithstanding anything in the Plan to the contrary, with respect to Restricted Stock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40" w:lineRule="exact"/>
        <w:rPr>
          <w:rFonts w:ascii="Arial" w:cs="Arial" w:eastAsia="Arial" w:hAnsi="Arial"/>
          <w:sz w:val="15"/>
          <w:szCs w:val="15"/>
          <w:color w:val="auto"/>
        </w:rPr>
      </w:pPr>
    </w:p>
    <w:p>
      <w:pPr>
        <w:ind w:left="252" w:right="240" w:hanging="252"/>
        <w:spacing w:after="0" w:line="233" w:lineRule="auto"/>
        <w:tabs>
          <w:tab w:leader="none" w:pos="244" w:val="left"/>
        </w:tabs>
        <w:numPr>
          <w:ilvl w:val="0"/>
          <w:numId w:val="174"/>
        </w:numPr>
        <w:rPr>
          <w:rFonts w:ascii="Arial" w:cs="Arial" w:eastAsia="Arial" w:hAnsi="Arial"/>
          <w:sz w:val="15"/>
          <w:szCs w:val="15"/>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Restricted Stock and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38" w:lineRule="exact"/>
        <w:rPr>
          <w:rFonts w:ascii="Arial" w:cs="Arial" w:eastAsia="Arial" w:hAnsi="Arial"/>
          <w:sz w:val="15"/>
          <w:szCs w:val="15"/>
          <w:color w:val="auto"/>
        </w:rPr>
      </w:pPr>
    </w:p>
    <w:p>
      <w:pPr>
        <w:ind w:left="732" w:right="80" w:hanging="239"/>
        <w:spacing w:after="0" w:line="228" w:lineRule="auto"/>
        <w:tabs>
          <w:tab w:leader="none" w:pos="732" w:val="left"/>
        </w:tabs>
        <w:numPr>
          <w:ilvl w:val="1"/>
          <w:numId w:val="174"/>
        </w:numPr>
        <w:rPr>
          <w:rFonts w:ascii="Arial" w:cs="Arial" w:eastAsia="Arial" w:hAnsi="Arial"/>
          <w:sz w:val="15"/>
          <w:szCs w:val="15"/>
          <w:color w:val="auto"/>
        </w:rPr>
      </w:pPr>
      <w:r>
        <w:rPr>
          <w:rFonts w:ascii="Arial" w:cs="Arial" w:eastAsia="Arial" w:hAnsi="Arial"/>
          <w:sz w:val="16"/>
          <w:szCs w:val="16"/>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13 hereof.</w:t>
      </w:r>
    </w:p>
    <w:p>
      <w:pPr>
        <w:spacing w:after="0" w:line="39" w:lineRule="exact"/>
        <w:rPr>
          <w:rFonts w:ascii="Arial" w:cs="Arial" w:eastAsia="Arial" w:hAnsi="Arial"/>
          <w:sz w:val="15"/>
          <w:szCs w:val="15"/>
          <w:color w:val="auto"/>
        </w:rPr>
      </w:pPr>
    </w:p>
    <w:p>
      <w:pPr>
        <w:ind w:left="732" w:right="60" w:hanging="239"/>
        <w:spacing w:after="0" w:line="221" w:lineRule="auto"/>
        <w:tabs>
          <w:tab w:leader="none" w:pos="732" w:val="left"/>
        </w:tabs>
        <w:numPr>
          <w:ilvl w:val="1"/>
          <w:numId w:val="174"/>
        </w:numPr>
        <w:rPr>
          <w:rFonts w:ascii="Arial" w:cs="Arial" w:eastAsia="Arial" w:hAnsi="Arial"/>
          <w:sz w:val="15"/>
          <w:szCs w:val="15"/>
          <w:color w:val="auto"/>
        </w:rPr>
      </w:pPr>
      <w:r>
        <w:rPr>
          <w:rFonts w:ascii="Arial" w:cs="Arial" w:eastAsia="Arial" w:hAnsi="Arial"/>
          <w:sz w:val="16"/>
          <w:szCs w:val="16"/>
          <w:color w:val="auto"/>
        </w:rPr>
        <w:t xml:space="preserve">Except as provided in the applicable Award Agreement, the Participant shall generally have the rights of a stockholder of the Company with respect to shares of Restricted Stock during the Restricted Period, including the right to vote such shares and to receive any dividends declared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the applicable Award Agreement, any dividends declared during the Restricted Period with respect to such shares shall only become payable if (and to the extent) the underlying Restricted Shares vest. Except as provided in the applicable Award Agreement, the Participant shall generally not have the rights of a stockholder with respect to shares of Common Stock subject to Restricted Stock Units during the Restricted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Section 409A of the Code, an amount equal to any dividends declared during the Restricted Period with respect to the number of shares of Common Stock covered by Restricted Stock Units may, to the extent set forth in an Award Agreement, be provided to the Participant either currently or at</w:t>
      </w:r>
    </w:p>
    <w:p>
      <w:pPr>
        <w:sectPr>
          <w:pgSz w:w="11900" w:h="16838" w:orient="portrait"/>
          <w:cols w:equalWidth="0" w:num="1">
            <w:col w:w="10992"/>
          </w:cols>
          <w:pgMar w:left="548" w:top="1139" w:right="359" w:bottom="1440" w:gutter="0" w:footer="0" w:header="0"/>
        </w:sectPr>
      </w:pPr>
    </w:p>
    <w:bookmarkStart w:id="272" w:name="page273"/>
    <w:bookmarkEnd w:id="272"/>
    <w:p>
      <w:pPr>
        <w:ind w:left="980"/>
        <w:spacing w:after="0"/>
        <w:rPr>
          <w:sz w:val="20"/>
          <w:szCs w:val="20"/>
          <w:color w:val="auto"/>
        </w:rPr>
      </w:pPr>
      <w:r>
        <w:rPr>
          <w:rFonts w:ascii="Arial" w:cs="Arial" w:eastAsia="Arial" w:hAnsi="Arial"/>
          <w:sz w:val="16"/>
          <w:szCs w:val="16"/>
          <w:color w:val="auto"/>
        </w:rPr>
        <w:t>the time (and to the extent) that shares of Common Stock in respect of the related Restricted Stock Units are delivered to the Participant.</w:t>
      </w:r>
    </w:p>
    <w:p>
      <w:pPr>
        <w:spacing w:after="0" w:line="62" w:lineRule="exact"/>
        <w:rPr>
          <w:sz w:val="20"/>
          <w:szCs w:val="20"/>
          <w:color w:val="auto"/>
        </w:rPr>
      </w:pPr>
    </w:p>
    <w:p>
      <w:pPr>
        <w:ind w:left="500" w:right="220" w:hanging="252"/>
        <w:spacing w:after="0" w:line="245" w:lineRule="auto"/>
        <w:tabs>
          <w:tab w:leader="none" w:pos="491" w:val="left"/>
        </w:tabs>
        <w:numPr>
          <w:ilvl w:val="0"/>
          <w:numId w:val="175"/>
        </w:numPr>
        <w:rPr>
          <w:rFonts w:ascii="Arial" w:cs="Arial" w:eastAsia="Arial" w:hAnsi="Arial"/>
          <w:sz w:val="15"/>
          <w:szCs w:val="15"/>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The rights of Participants granted Restricted Stock or Restricted Stock Units upon termination of employment or service with the Company and all Affiliates thereof for any reason during the Restricted Period shall be set forth in the Award Agreement.</w:t>
      </w:r>
    </w:p>
    <w:p>
      <w:pPr>
        <w:spacing w:after="0" w:line="34" w:lineRule="exact"/>
        <w:rPr>
          <w:rFonts w:ascii="Arial" w:cs="Arial" w:eastAsia="Arial" w:hAnsi="Arial"/>
          <w:sz w:val="15"/>
          <w:szCs w:val="15"/>
          <w:color w:val="auto"/>
        </w:rPr>
      </w:pPr>
    </w:p>
    <w:p>
      <w:pPr>
        <w:ind w:left="500" w:right="600" w:hanging="252"/>
        <w:spacing w:after="0" w:line="245" w:lineRule="auto"/>
        <w:tabs>
          <w:tab w:leader="none" w:pos="493" w:val="left"/>
        </w:tabs>
        <w:numPr>
          <w:ilvl w:val="0"/>
          <w:numId w:val="175"/>
        </w:numPr>
        <w:rPr>
          <w:rFonts w:ascii="Arial" w:cs="Arial" w:eastAsia="Arial" w:hAnsi="Arial"/>
          <w:sz w:val="15"/>
          <w:szCs w:val="15"/>
          <w:color w:val="auto"/>
        </w:rPr>
      </w:pPr>
      <w:r>
        <w:rPr>
          <w:rFonts w:ascii="Arial" w:cs="Arial" w:eastAsia="Arial" w:hAnsi="Arial"/>
          <w:sz w:val="16"/>
          <w:szCs w:val="16"/>
          <w:u w:val="single" w:color="auto"/>
          <w:color w:val="auto"/>
        </w:rPr>
        <w:t>Form of Settlement</w:t>
      </w:r>
      <w:r>
        <w:rPr>
          <w:rFonts w:ascii="Arial" w:cs="Arial" w:eastAsia="Arial" w:hAnsi="Arial"/>
          <w:sz w:val="16"/>
          <w:szCs w:val="16"/>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10. Other Stock-Based Awards.</w:t>
      </w:r>
    </w:p>
    <w:p>
      <w:pPr>
        <w:spacing w:after="0" w:line="66" w:lineRule="exact"/>
        <w:rPr>
          <w:sz w:val="20"/>
          <w:szCs w:val="20"/>
          <w:color w:val="auto"/>
        </w:rPr>
      </w:pPr>
    </w:p>
    <w:p>
      <w:pPr>
        <w:ind w:right="100" w:firstLine="575"/>
        <w:spacing w:after="0" w:line="236" w:lineRule="auto"/>
        <w:rPr>
          <w:sz w:val="20"/>
          <w:szCs w:val="20"/>
          <w:color w:val="auto"/>
        </w:rPr>
      </w:pPr>
      <w:r>
        <w:rPr>
          <w:rFonts w:ascii="Arial" w:cs="Arial" w:eastAsia="Arial" w:hAnsi="Arial"/>
          <w:sz w:val="15"/>
          <w:szCs w:val="15"/>
          <w:color w:val="auto"/>
        </w:rPr>
        <w:t>Other forms of Awards valued in whole or in part by reference to, or otherwise based on, Common Stock, including but not limited to dividend equivalents, may be granted either alone or in addition to other Awards (other than, in the case of dividend equivalents, in connection with Options or Stock Appreciation Rights) under the Plan. Any dividend or dividend equivalent awarded hereunder shall be subject to the same restrictions, conditions and risks of forfeiture as the underlying Awards and, except as provided in the applicable Award Agreement, shall only become payable if (and to the extent) the underlying Awards vest. Subject to the provisions of the Plan, the Administrator shall have sole and complete authority to determine the individuals to whom and the time or times at which such Other Stock-Based Awards shall be granted,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 Based Awards.</w:t>
      </w:r>
    </w:p>
    <w:p>
      <w:pPr>
        <w:spacing w:after="0" w:line="31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11. Stock Bonuses.</w:t>
      </w:r>
    </w:p>
    <w:p>
      <w:pPr>
        <w:spacing w:after="0" w:line="66" w:lineRule="exact"/>
        <w:rPr>
          <w:sz w:val="20"/>
          <w:szCs w:val="20"/>
          <w:color w:val="auto"/>
        </w:rPr>
      </w:pPr>
    </w:p>
    <w:p>
      <w:pPr>
        <w:ind w:right="120" w:firstLine="575"/>
        <w:spacing w:after="0" w:line="233" w:lineRule="auto"/>
        <w:rPr>
          <w:sz w:val="20"/>
          <w:szCs w:val="20"/>
          <w:color w:val="auto"/>
        </w:rPr>
      </w:pPr>
      <w:r>
        <w:rPr>
          <w:rFonts w:ascii="Arial" w:cs="Arial" w:eastAsia="Arial" w:hAnsi="Arial"/>
          <w:sz w:val="16"/>
          <w:szCs w:val="16"/>
          <w:color w:val="auto"/>
        </w:rPr>
        <w:t>In the event that the Administrator grants a Stock Bonus, the Shares constituting such Stock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Stock Bonus is payable.</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12. Cash Awards.</w:t>
      </w:r>
    </w:p>
    <w:p>
      <w:pPr>
        <w:spacing w:after="0" w:line="66" w:lineRule="exact"/>
        <w:rPr>
          <w:sz w:val="20"/>
          <w:szCs w:val="20"/>
          <w:color w:val="auto"/>
        </w:rPr>
      </w:pPr>
    </w:p>
    <w:p>
      <w:pPr>
        <w:jc w:val="both"/>
        <w:ind w:firstLine="575"/>
        <w:spacing w:after="0" w:line="233" w:lineRule="auto"/>
        <w:rPr>
          <w:sz w:val="20"/>
          <w:szCs w:val="20"/>
          <w:color w:val="auto"/>
        </w:rPr>
      </w:pPr>
      <w:r>
        <w:rPr>
          <w:rFonts w:ascii="Arial" w:cs="Arial" w:eastAsia="Arial" w:hAnsi="Arial"/>
          <w:sz w:val="16"/>
          <w:szCs w:val="16"/>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ectPr>
          <w:pgSz w:w="11900" w:h="16838" w:orient="portrait"/>
          <w:cols w:equalWidth="0" w:num="1">
            <w:col w:w="11260"/>
          </w:cols>
          <w:pgMar w:left="300" w:top="1138" w:right="339" w:bottom="1440" w:gutter="0" w:footer="0" w:header="0"/>
        </w:sectPr>
      </w:pPr>
    </w:p>
    <w:bookmarkStart w:id="273" w:name="page274"/>
    <w:bookmarkEnd w:id="273"/>
    <w:p>
      <w:pPr>
        <w:ind w:left="80"/>
        <w:spacing w:after="0"/>
        <w:rPr>
          <w:sz w:val="20"/>
          <w:szCs w:val="20"/>
          <w:color w:val="auto"/>
        </w:rPr>
      </w:pPr>
      <w:r>
        <w:rPr>
          <w:rFonts w:ascii="Arial" w:cs="Arial" w:eastAsia="Arial" w:hAnsi="Arial"/>
          <w:sz w:val="16"/>
          <w:szCs w:val="16"/>
          <w:b w:val="1"/>
          <w:bCs w:val="1"/>
          <w:color w:val="auto"/>
        </w:rPr>
        <w:t>Section 13. Change in Control Provisions.</w:t>
      </w:r>
    </w:p>
    <w:p>
      <w:pPr>
        <w:spacing w:after="0" w:line="66" w:lineRule="exact"/>
        <w:rPr>
          <w:sz w:val="20"/>
          <w:szCs w:val="20"/>
          <w:color w:val="auto"/>
        </w:rPr>
      </w:pPr>
    </w:p>
    <w:p>
      <w:pPr>
        <w:ind w:right="40" w:firstLine="575"/>
        <w:spacing w:after="0" w:line="228" w:lineRule="auto"/>
        <w:rPr>
          <w:sz w:val="20"/>
          <w:szCs w:val="20"/>
          <w:color w:val="auto"/>
        </w:rPr>
      </w:pPr>
      <w:r>
        <w:rPr>
          <w:rFonts w:ascii="Arial" w:cs="Arial" w:eastAsia="Arial" w:hAnsi="Arial"/>
          <w:sz w:val="16"/>
          <w:szCs w:val="16"/>
          <w:color w:val="auto"/>
        </w:rPr>
        <w:t>Except as provided in the applicable Award Agreement, in the event that (a) a Change in Control occurs and (b) either (x) an outstanding Award is not assumed or substituted in connection therewith or (y) an outstanding Award is assumed or substituted in connection therewith and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39" w:lineRule="exact"/>
        <w:rPr>
          <w:sz w:val="20"/>
          <w:szCs w:val="20"/>
          <w:color w:val="auto"/>
        </w:rPr>
      </w:pPr>
    </w:p>
    <w:p>
      <w:pPr>
        <w:ind w:left="480" w:hanging="232"/>
        <w:spacing w:after="0"/>
        <w:tabs>
          <w:tab w:leader="none" w:pos="480" w:val="left"/>
        </w:tabs>
        <w:numPr>
          <w:ilvl w:val="0"/>
          <w:numId w:val="176"/>
        </w:numPr>
        <w:rPr>
          <w:rFonts w:ascii="Arial" w:cs="Arial" w:eastAsia="Arial" w:hAnsi="Arial"/>
          <w:sz w:val="15"/>
          <w:szCs w:val="15"/>
          <w:color w:val="auto"/>
        </w:rPr>
      </w:pPr>
      <w:r>
        <w:rPr>
          <w:rFonts w:ascii="Arial" w:cs="Arial" w:eastAsia="Arial" w:hAnsi="Arial"/>
          <w:sz w:val="16"/>
          <w:szCs w:val="16"/>
          <w:color w:val="auto"/>
        </w:rPr>
        <w:t>any unvested or unexercisable portion of any Award carrying a right to exercise shall become fully vested and exercisable; and</w:t>
      </w:r>
    </w:p>
    <w:p>
      <w:pPr>
        <w:spacing w:after="0" w:line="62" w:lineRule="exact"/>
        <w:rPr>
          <w:rFonts w:ascii="Arial" w:cs="Arial" w:eastAsia="Arial" w:hAnsi="Arial"/>
          <w:sz w:val="15"/>
          <w:szCs w:val="15"/>
          <w:color w:val="auto"/>
        </w:rPr>
      </w:pPr>
    </w:p>
    <w:p>
      <w:pPr>
        <w:ind w:left="500" w:right="120" w:hanging="252"/>
        <w:spacing w:after="0" w:line="233" w:lineRule="auto"/>
        <w:tabs>
          <w:tab w:leader="none" w:pos="491" w:val="left"/>
        </w:tabs>
        <w:numPr>
          <w:ilvl w:val="0"/>
          <w:numId w:val="176"/>
        </w:numPr>
        <w:rPr>
          <w:rFonts w:ascii="Arial" w:cs="Arial" w:eastAsia="Arial" w:hAnsi="Arial"/>
          <w:sz w:val="15"/>
          <w:szCs w:val="15"/>
          <w:color w:val="auto"/>
        </w:rPr>
      </w:pPr>
      <w:r>
        <w:rPr>
          <w:rFonts w:ascii="Arial" w:cs="Arial" w:eastAsia="Arial" w:hAnsi="Arial"/>
          <w:sz w:val="16"/>
          <w:szCs w:val="16"/>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achieved at the greater of target and actual performance levels.</w:t>
      </w:r>
    </w:p>
    <w:p>
      <w:pPr>
        <w:spacing w:after="0" w:line="39" w:lineRule="exact"/>
        <w:rPr>
          <w:sz w:val="20"/>
          <w:szCs w:val="20"/>
          <w:color w:val="auto"/>
        </w:rPr>
      </w:pPr>
    </w:p>
    <w:p>
      <w:pPr>
        <w:ind w:right="20" w:firstLine="575"/>
        <w:spacing w:after="0" w:line="228" w:lineRule="auto"/>
        <w:rPr>
          <w:sz w:val="20"/>
          <w:szCs w:val="20"/>
          <w:color w:val="auto"/>
        </w:rPr>
      </w:pPr>
      <w:r>
        <w:rPr>
          <w:rFonts w:ascii="Arial" w:cs="Arial" w:eastAsia="Arial" w:hAnsi="Arial"/>
          <w:sz w:val="16"/>
          <w:szCs w:val="16"/>
          <w:color w:val="auto"/>
        </w:rPr>
        <w:t>For purposes of this Section 13, an outstanding Award shall be considered to be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 (or such other security or entity as may be determined by the Administrator, in its sole discretion, pursuant to Section 5 hereof).</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14. Voting Proxy</w:t>
      </w:r>
    </w:p>
    <w:p>
      <w:pPr>
        <w:spacing w:after="0" w:line="66" w:lineRule="exact"/>
        <w:rPr>
          <w:sz w:val="20"/>
          <w:szCs w:val="20"/>
          <w:color w:val="auto"/>
        </w:rPr>
      </w:pPr>
    </w:p>
    <w:p>
      <w:pPr>
        <w:ind w:right="20" w:firstLine="575"/>
        <w:spacing w:after="0" w:line="223" w:lineRule="auto"/>
        <w:rPr>
          <w:sz w:val="20"/>
          <w:szCs w:val="20"/>
          <w:color w:val="auto"/>
        </w:rPr>
      </w:pPr>
      <w:r>
        <w:rPr>
          <w:rFonts w:ascii="Arial" w:cs="Arial" w:eastAsia="Arial" w:hAnsi="Arial"/>
          <w:sz w:val="16"/>
          <w:szCs w:val="16"/>
          <w:color w:val="auto"/>
        </w:rPr>
        <w:t>The Company reserves the right to require the Participant, to the fullest extent permitted by applicable law, to appoint such Person as shall be determined by the Administrator in its sole discretion as the Participant’s proxy with respect to all applicable unvested Awards of which the Participant may be the record holder of from time to time to (A) attend all meetings of the holders of the shares of Common Stock,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shares of Common Stock in the same manner and extent that the Participant might but for the proxy granted pursuant to this sentence.</w:t>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15. Amendment and Termination.</w:t>
      </w:r>
    </w:p>
    <w:p>
      <w:pPr>
        <w:spacing w:after="0" w:line="66" w:lineRule="exact"/>
        <w:rPr>
          <w:sz w:val="20"/>
          <w:szCs w:val="20"/>
          <w:color w:val="auto"/>
        </w:rPr>
      </w:pPr>
    </w:p>
    <w:p>
      <w:pPr>
        <w:ind w:firstLine="575"/>
        <w:spacing w:after="0" w:line="237" w:lineRule="auto"/>
        <w:rPr>
          <w:sz w:val="20"/>
          <w:szCs w:val="20"/>
          <w:color w:val="auto"/>
        </w:rPr>
      </w:pPr>
      <w:r>
        <w:rPr>
          <w:rFonts w:ascii="Arial" w:cs="Arial" w:eastAsia="Arial" w:hAnsi="Arial"/>
          <w:sz w:val="15"/>
          <w:szCs w:val="15"/>
          <w:color w:val="auto"/>
        </w:rPr>
        <w:t xml:space="preserve">The Administrator may amend, alter or terminate the Plan, but no amendment, alteration, or termination shall be made that would impair the rights of a Participant under any outstanding Award without such Participant’s consent. Unless the Board determines otherwise, the Board shall obtain approval of the Company’s stockholders for any amendment to the Plan that would require such approval in order to satisfy any rules of the stock exchange on which the Common Stock is traded or other applicable law. The Administrator may amend the terms of any outstanding Award, prospectively or retroactively, but, subject to Section 5 hereof and the immediately preceding sentence, no such amendment shall impair the rights of any Participant without the Participant’s consent;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Administrator may amend the terms of any such Award to take effect retroactively or otherwise, as deemed necessary or advisable for the purpose of conforming the Award to any applicable law, government regulation or stock exchange listing requirement relating to such Award (including, but not limited to, Section 409A</w:t>
      </w:r>
    </w:p>
    <w:p>
      <w:pPr>
        <w:sectPr>
          <w:pgSz w:w="11900" w:h="16838" w:orient="portrait"/>
          <w:cols w:equalWidth="0" w:num="1">
            <w:col w:w="11260"/>
          </w:cols>
          <w:pgMar w:left="300" w:top="1145" w:right="339" w:bottom="1440" w:gutter="0" w:footer="0" w:header="0"/>
        </w:sectPr>
      </w:pPr>
    </w:p>
    <w:bookmarkStart w:id="274" w:name="page275"/>
    <w:bookmarkEnd w:id="274"/>
    <w:p>
      <w:pPr>
        <w:ind w:right="100"/>
        <w:spacing w:after="0" w:line="245" w:lineRule="auto"/>
        <w:rPr>
          <w:sz w:val="20"/>
          <w:szCs w:val="20"/>
          <w:color w:val="auto"/>
        </w:rPr>
      </w:pPr>
      <w:r>
        <w:rPr>
          <w:rFonts w:ascii="Arial" w:cs="Arial" w:eastAsia="Arial" w:hAnsi="Arial"/>
          <w:sz w:val="16"/>
          <w:szCs w:val="16"/>
          <w:color w:val="auto"/>
        </w:rPr>
        <w:t>of the Code), and by accepting an Award under this Plan, the Participant thereby agrees to any amendment made pursuant to this Section 14 to such Award (as determined by the Administrator) without further consideration or action.</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16. Unfunded Status of Plan.</w:t>
      </w:r>
    </w:p>
    <w:p>
      <w:pPr>
        <w:spacing w:after="0" w:line="66" w:lineRule="exact"/>
        <w:rPr>
          <w:sz w:val="20"/>
          <w:szCs w:val="20"/>
          <w:color w:val="auto"/>
        </w:rPr>
      </w:pPr>
    </w:p>
    <w:p>
      <w:pPr>
        <w:ind w:right="260" w:firstLine="575"/>
        <w:spacing w:after="0" w:line="245" w:lineRule="auto"/>
        <w:rPr>
          <w:sz w:val="20"/>
          <w:szCs w:val="20"/>
          <w:color w:val="auto"/>
        </w:rPr>
      </w:pPr>
      <w:r>
        <w:rPr>
          <w:rFonts w:ascii="Arial" w:cs="Arial" w:eastAsia="Arial" w:hAnsi="Arial"/>
          <w:sz w:val="16"/>
          <w:szCs w:val="16"/>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17. Withholding Taxes.</w:t>
      </w:r>
    </w:p>
    <w:p>
      <w:pPr>
        <w:spacing w:after="0" w:line="66" w:lineRule="exact"/>
        <w:rPr>
          <w:sz w:val="20"/>
          <w:szCs w:val="20"/>
          <w:color w:val="auto"/>
        </w:rPr>
      </w:pPr>
    </w:p>
    <w:p>
      <w:pPr>
        <w:ind w:firstLine="575"/>
        <w:spacing w:after="0" w:line="232" w:lineRule="auto"/>
        <w:rPr>
          <w:sz w:val="20"/>
          <w:szCs w:val="20"/>
          <w:color w:val="auto"/>
        </w:rPr>
      </w:pPr>
      <w:r>
        <w:rPr>
          <w:rFonts w:ascii="Arial" w:cs="Arial" w:eastAsia="Arial" w:hAnsi="Arial"/>
          <w:sz w:val="15"/>
          <w:szCs w:val="15"/>
          <w:color w:val="auto"/>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that, with the approval of the Administrator, a Participant may satisfy the foregoing requirement by either (i) electing to have the Company withhold from such delivery Shares or other property, as applicable, or (ii) by delivering already owned unrestricted shares of Common Stock, in each case, having a value not exceeding the applicable taxes to be withheld and applied to the tax obligations as determined by the Company. Such withheld Shares or other property or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w:t>
      </w:r>
    </w:p>
    <w:p>
      <w:pPr>
        <w:spacing w:after="0" w:line="31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18. Transfer of Awards.</w:t>
      </w:r>
    </w:p>
    <w:p>
      <w:pPr>
        <w:spacing w:after="0" w:line="66" w:lineRule="exact"/>
        <w:rPr>
          <w:sz w:val="20"/>
          <w:szCs w:val="20"/>
          <w:color w:val="auto"/>
        </w:rPr>
      </w:pPr>
    </w:p>
    <w:p>
      <w:pPr>
        <w:ind w:right="140" w:firstLine="574"/>
        <w:spacing w:after="0" w:line="223" w:lineRule="auto"/>
        <w:rPr>
          <w:sz w:val="20"/>
          <w:szCs w:val="20"/>
          <w:color w:val="auto"/>
        </w:rPr>
      </w:pPr>
      <w:r>
        <w:rPr>
          <w:rFonts w:ascii="Arial" w:cs="Arial" w:eastAsia="Arial" w:hAnsi="Arial"/>
          <w:sz w:val="16"/>
          <w:szCs w:val="16"/>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“Transfer”)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w:t>
      </w:r>
    </w:p>
    <w:p>
      <w:pPr>
        <w:sectPr>
          <w:pgSz w:w="11900" w:h="16838" w:orient="portrait"/>
          <w:cols w:equalWidth="0" w:num="1">
            <w:col w:w="11280"/>
          </w:cols>
          <w:pgMar w:left="300" w:top="1138" w:right="319" w:bottom="1440" w:gutter="0" w:footer="0" w:header="0"/>
        </w:sectPr>
      </w:pPr>
    </w:p>
    <w:bookmarkStart w:id="275" w:name="page276"/>
    <w:bookmarkEnd w:id="275"/>
    <w:p>
      <w:pPr>
        <w:ind w:right="180"/>
        <w:spacing w:after="0" w:line="225" w:lineRule="auto"/>
        <w:rPr>
          <w:sz w:val="20"/>
          <w:szCs w:val="20"/>
          <w:color w:val="auto"/>
        </w:rPr>
      </w:pPr>
      <w:r>
        <w:rPr>
          <w:rFonts w:ascii="Arial" w:cs="Arial" w:eastAsia="Arial" w:hAnsi="Arial"/>
          <w:sz w:val="16"/>
          <w:szCs w:val="16"/>
          <w:color w:val="auto"/>
        </w:rPr>
        <w:t>create any obligation or liability of the Company, and any Person purportedly acquiring any Award or any economic benefit or interest therein transferred in violation of the Plan or an Award Agreement shall not be entitled to be recognized as a holder of any shares of Common Stock or other property underlying such Award. Unless otherwise determined by the Administrator in accordance with the provisions of the immediately preceding sentence, an Option or Stock Appreciation Right may be exercised, during the lifetime of the Participant, only by the Participant or, during any period during which the Participant is under a legal disability, by the Participant’s guardian or legal representative.</w:t>
      </w:r>
    </w:p>
    <w:p>
      <w:pPr>
        <w:spacing w:after="0" w:line="3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19. Continued Employment or Service.</w:t>
      </w:r>
    </w:p>
    <w:p>
      <w:pPr>
        <w:spacing w:after="0" w:line="66" w:lineRule="exact"/>
        <w:rPr>
          <w:sz w:val="20"/>
          <w:szCs w:val="20"/>
          <w:color w:val="auto"/>
        </w:rPr>
      </w:pPr>
    </w:p>
    <w:p>
      <w:pPr>
        <w:ind w:right="80" w:firstLine="574"/>
        <w:spacing w:after="0" w:line="233" w:lineRule="auto"/>
        <w:rPr>
          <w:sz w:val="20"/>
          <w:szCs w:val="20"/>
          <w:color w:val="auto"/>
        </w:rPr>
      </w:pPr>
      <w:r>
        <w:rPr>
          <w:rFonts w:ascii="Arial" w:cs="Arial" w:eastAsia="Arial" w:hAnsi="Arial"/>
          <w:sz w:val="16"/>
          <w:szCs w:val="16"/>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20. Effective Date.</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Plan was adopted and approved on May 2, 2021 and became effective on September 15, 2021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33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21. Term of Plan.</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 Award shall be granted pursuant to the Plan on or after the tenth anniversary of the Effective Date, but Awards theretofore granted may extend beyond that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3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22. Securities Matters and Regulations</w:t>
      </w:r>
      <w:r>
        <w:rPr>
          <w:rFonts w:ascii="Arial" w:cs="Arial" w:eastAsia="Arial" w:hAnsi="Arial"/>
          <w:sz w:val="16"/>
          <w:szCs w:val="16"/>
          <w:color w:val="auto"/>
        </w:rPr>
        <w:t>.</w:t>
      </w:r>
    </w:p>
    <w:p>
      <w:pPr>
        <w:spacing w:after="0" w:line="66" w:lineRule="exact"/>
        <w:rPr>
          <w:sz w:val="20"/>
          <w:szCs w:val="20"/>
          <w:color w:val="auto"/>
        </w:rPr>
      </w:pPr>
    </w:p>
    <w:p>
      <w:pPr>
        <w:ind w:left="500" w:right="60" w:hanging="252"/>
        <w:spacing w:after="0" w:line="225" w:lineRule="auto"/>
        <w:tabs>
          <w:tab w:leader="none" w:pos="493" w:val="left"/>
        </w:tabs>
        <w:numPr>
          <w:ilvl w:val="0"/>
          <w:numId w:val="177"/>
        </w:numPr>
        <w:rPr>
          <w:rFonts w:ascii="Arial" w:cs="Arial" w:eastAsia="Arial" w:hAnsi="Arial"/>
          <w:sz w:val="15"/>
          <w:szCs w:val="15"/>
          <w:color w:val="auto"/>
        </w:rPr>
      </w:pPr>
      <w:r>
        <w:rPr>
          <w:rFonts w:ascii="Arial" w:cs="Arial" w:eastAsia="Arial" w:hAnsi="Arial"/>
          <w:sz w:val="16"/>
          <w:szCs w:val="16"/>
          <w:color w:val="auto"/>
        </w:rPr>
        <w:t>Notwithstanding anything herein to the contrary, the obligation of the Company to sell or deliver Common Stock with respect to any Award granted under the Plan shall be subject to all applicable laws, rules and regulations, including all applicable federal and state securities laws, the receipt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of Common Stock pursuant to the terms hereof, that the</w:t>
      </w:r>
    </w:p>
    <w:p>
      <w:pPr>
        <w:spacing w:after="0" w:line="307" w:lineRule="exact"/>
        <w:rPr>
          <w:sz w:val="20"/>
          <w:szCs w:val="20"/>
          <w:color w:val="auto"/>
        </w:rPr>
      </w:pPr>
    </w:p>
    <w:p>
      <w:pPr>
        <w:ind w:right="540" w:firstLine="82"/>
        <w:spacing w:after="0" w:line="245" w:lineRule="auto"/>
        <w:rPr>
          <w:sz w:val="20"/>
          <w:szCs w:val="20"/>
          <w:color w:val="auto"/>
        </w:rPr>
      </w:pPr>
      <w:r>
        <w:rPr>
          <w:rFonts w:ascii="Arial" w:cs="Arial" w:eastAsia="Arial" w:hAnsi="Arial"/>
          <w:sz w:val="16"/>
          <w:szCs w:val="16"/>
          <w:color w:val="auto"/>
        </w:rPr>
        <w:t>recipient of such shares make such agreements and representations, and that such certificates bear such legends, as the Administrator, in its sole discretion, deems necessary or advisable.</w:t>
      </w:r>
    </w:p>
    <w:p>
      <w:pPr>
        <w:spacing w:after="0" w:line="35" w:lineRule="exact"/>
        <w:rPr>
          <w:sz w:val="20"/>
          <w:szCs w:val="20"/>
          <w:color w:val="auto"/>
        </w:rPr>
      </w:pPr>
    </w:p>
    <w:p>
      <w:pPr>
        <w:ind w:left="500" w:hanging="252"/>
        <w:spacing w:after="0" w:line="228" w:lineRule="auto"/>
        <w:tabs>
          <w:tab w:leader="none" w:pos="491" w:val="left"/>
        </w:tabs>
        <w:numPr>
          <w:ilvl w:val="0"/>
          <w:numId w:val="178"/>
        </w:numPr>
        <w:rPr>
          <w:rFonts w:ascii="Arial" w:cs="Arial" w:eastAsia="Arial" w:hAnsi="Arial"/>
          <w:sz w:val="15"/>
          <w:szCs w:val="15"/>
          <w:color w:val="auto"/>
        </w:rPr>
      </w:pPr>
      <w:r>
        <w:rPr>
          <w:rFonts w:ascii="Arial" w:cs="Arial" w:eastAsia="Arial" w:hAnsi="Arial"/>
          <w:sz w:val="16"/>
          <w:szCs w:val="16"/>
          <w:color w:val="auto"/>
        </w:rPr>
        <w:t>Each Award is subject to the requirement that, if at any time the Administrator determines that the listing, registration or qualification of Common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such listing, registration, qualification, consent or</w:t>
      </w:r>
    </w:p>
    <w:p>
      <w:pPr>
        <w:sectPr>
          <w:pgSz w:w="11900" w:h="16838" w:orient="portrait"/>
          <w:cols w:equalWidth="0" w:num="1">
            <w:col w:w="11240"/>
          </w:cols>
          <w:pgMar w:left="300" w:top="1138" w:right="359" w:bottom="1440" w:gutter="0" w:footer="0" w:header="0"/>
        </w:sectPr>
      </w:pPr>
    </w:p>
    <w:bookmarkStart w:id="276" w:name="page277"/>
    <w:bookmarkEnd w:id="276"/>
    <w:p>
      <w:pPr>
        <w:ind w:left="500"/>
        <w:spacing w:after="0"/>
        <w:rPr>
          <w:sz w:val="20"/>
          <w:szCs w:val="20"/>
          <w:color w:val="auto"/>
        </w:rPr>
      </w:pPr>
      <w:r>
        <w:rPr>
          <w:rFonts w:ascii="Arial" w:cs="Arial" w:eastAsia="Arial" w:hAnsi="Arial"/>
          <w:sz w:val="16"/>
          <w:szCs w:val="16"/>
          <w:color w:val="auto"/>
        </w:rPr>
        <w:t>approval has been effected or obtained free of any conditions not acceptable to the Administrator.</w:t>
      </w:r>
    </w:p>
    <w:p>
      <w:pPr>
        <w:spacing w:after="0" w:line="62" w:lineRule="exact"/>
        <w:rPr>
          <w:sz w:val="20"/>
          <w:szCs w:val="20"/>
          <w:color w:val="auto"/>
        </w:rPr>
      </w:pPr>
    </w:p>
    <w:p>
      <w:pPr>
        <w:ind w:left="500" w:right="60" w:hanging="252"/>
        <w:spacing w:after="0" w:line="225" w:lineRule="auto"/>
        <w:tabs>
          <w:tab w:leader="none" w:pos="493" w:val="left"/>
        </w:tabs>
        <w:numPr>
          <w:ilvl w:val="0"/>
          <w:numId w:val="179"/>
        </w:numPr>
        <w:rPr>
          <w:rFonts w:ascii="Arial" w:cs="Arial" w:eastAsia="Arial" w:hAnsi="Arial"/>
          <w:sz w:val="15"/>
          <w:szCs w:val="15"/>
          <w:color w:val="auto"/>
        </w:rPr>
      </w:pPr>
      <w:r>
        <w:rPr>
          <w:rFonts w:ascii="Arial" w:cs="Arial" w:eastAsia="Arial" w:hAnsi="Arial"/>
          <w:sz w:val="16"/>
          <w:szCs w:val="16"/>
          <w:color w:val="auto"/>
        </w:rPr>
        <w:t>In the event that the disposition of Common Stock acquired pursuant to the Plan is not covered by a then current registration statement under the Securities Act and is not otherwise exempt from such registration, such Common Stock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3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23. Notification of Election Under Section 83(b) of the Code.</w:t>
      </w:r>
    </w:p>
    <w:p>
      <w:pPr>
        <w:spacing w:after="0" w:line="66" w:lineRule="exact"/>
        <w:rPr>
          <w:sz w:val="20"/>
          <w:szCs w:val="20"/>
          <w:color w:val="auto"/>
        </w:rPr>
      </w:pPr>
    </w:p>
    <w:p>
      <w:pPr>
        <w:ind w:right="360" w:firstLine="575"/>
        <w:spacing w:after="0" w:line="278" w:lineRule="auto"/>
        <w:rPr>
          <w:sz w:val="20"/>
          <w:szCs w:val="20"/>
          <w:color w:val="auto"/>
        </w:rPr>
      </w:pPr>
      <w:r>
        <w:rPr>
          <w:rFonts w:ascii="Arial" w:cs="Arial" w:eastAsia="Arial" w:hAnsi="Arial"/>
          <w:sz w:val="15"/>
          <w:szCs w:val="15"/>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24. No Fractional Shares.</w:t>
      </w:r>
    </w:p>
    <w:p>
      <w:pPr>
        <w:spacing w:after="0" w:line="66" w:lineRule="exact"/>
        <w:rPr>
          <w:sz w:val="20"/>
          <w:szCs w:val="20"/>
          <w:color w:val="auto"/>
        </w:rPr>
      </w:pPr>
    </w:p>
    <w:p>
      <w:pPr>
        <w:ind w:right="160" w:firstLine="575"/>
        <w:spacing w:after="0" w:line="278" w:lineRule="auto"/>
        <w:rPr>
          <w:sz w:val="20"/>
          <w:szCs w:val="20"/>
          <w:color w:val="auto"/>
        </w:rPr>
      </w:pPr>
      <w:r>
        <w:rPr>
          <w:rFonts w:ascii="Arial" w:cs="Arial" w:eastAsia="Arial" w:hAnsi="Arial"/>
          <w:sz w:val="15"/>
          <w:szCs w:val="15"/>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25. Beneficiary.</w:t>
      </w:r>
    </w:p>
    <w:p>
      <w:pPr>
        <w:spacing w:after="0" w:line="66" w:lineRule="exact"/>
        <w:rPr>
          <w:sz w:val="20"/>
          <w:szCs w:val="20"/>
          <w:color w:val="auto"/>
        </w:rPr>
      </w:pPr>
    </w:p>
    <w:p>
      <w:pPr>
        <w:jc w:val="both"/>
        <w:ind w:firstLine="575"/>
        <w:spacing w:after="0" w:line="233" w:lineRule="auto"/>
        <w:rPr>
          <w:sz w:val="20"/>
          <w:szCs w:val="20"/>
          <w:color w:val="auto"/>
        </w:rPr>
      </w:pPr>
      <w:r>
        <w:rPr>
          <w:rFonts w:ascii="Arial" w:cs="Arial" w:eastAsia="Arial" w:hAnsi="Arial"/>
          <w:sz w:val="16"/>
          <w:szCs w:val="16"/>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26. Paperless Administration.</w:t>
      </w:r>
    </w:p>
    <w:p>
      <w:pPr>
        <w:spacing w:after="0" w:line="66" w:lineRule="exact"/>
        <w:rPr>
          <w:sz w:val="20"/>
          <w:szCs w:val="20"/>
          <w:color w:val="auto"/>
        </w:rPr>
      </w:pPr>
    </w:p>
    <w:p>
      <w:pPr>
        <w:ind w:right="40" w:firstLine="575"/>
        <w:spacing w:after="0" w:line="233" w:lineRule="auto"/>
        <w:rPr>
          <w:sz w:val="20"/>
          <w:szCs w:val="20"/>
          <w:color w:val="auto"/>
        </w:rPr>
      </w:pPr>
      <w:r>
        <w:rPr>
          <w:rFonts w:ascii="Arial" w:cs="Arial" w:eastAsia="Arial" w:hAnsi="Arial"/>
          <w:sz w:val="16"/>
          <w:szCs w:val="16"/>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27. Severability.</w:t>
      </w:r>
    </w:p>
    <w:p>
      <w:pPr>
        <w:spacing w:after="0" w:line="66" w:lineRule="exact"/>
        <w:rPr>
          <w:sz w:val="20"/>
          <w:szCs w:val="20"/>
          <w:color w:val="auto"/>
        </w:rPr>
      </w:pPr>
    </w:p>
    <w:p>
      <w:pPr>
        <w:ind w:firstLine="575"/>
        <w:spacing w:after="0" w:line="245" w:lineRule="auto"/>
        <w:rPr>
          <w:sz w:val="20"/>
          <w:szCs w:val="20"/>
          <w:color w:val="auto"/>
        </w:rPr>
      </w:pPr>
      <w:r>
        <w:rPr>
          <w:rFonts w:ascii="Arial" w:cs="Arial" w:eastAsia="Arial" w:hAnsi="Arial"/>
          <w:sz w:val="16"/>
          <w:szCs w:val="16"/>
          <w:color w:val="auto"/>
        </w:rPr>
        <w:t>If any provision of the Plan is held to be invalid or unenforceable, the other provisions of the Plan shall not be affected but shall be applied as if the invalid or unenforceable provision had not been included in the Plan.</w:t>
      </w:r>
    </w:p>
    <w:p>
      <w:pPr>
        <w:sectPr>
          <w:pgSz w:w="11900" w:h="16838" w:orient="portrait"/>
          <w:cols w:equalWidth="0" w:num="1">
            <w:col w:w="11280"/>
          </w:cols>
          <w:pgMar w:left="300" w:top="1139" w:right="319" w:bottom="1440" w:gutter="0" w:footer="0" w:header="0"/>
        </w:sectPr>
      </w:pPr>
    </w:p>
    <w:bookmarkStart w:id="277" w:name="page278"/>
    <w:bookmarkEnd w:id="277"/>
    <w:p>
      <w:pPr>
        <w:ind w:left="80"/>
        <w:spacing w:after="0"/>
        <w:rPr>
          <w:sz w:val="20"/>
          <w:szCs w:val="20"/>
          <w:color w:val="auto"/>
        </w:rPr>
      </w:pPr>
      <w:r>
        <w:rPr>
          <w:rFonts w:ascii="Arial" w:cs="Arial" w:eastAsia="Arial" w:hAnsi="Arial"/>
          <w:sz w:val="16"/>
          <w:szCs w:val="16"/>
          <w:b w:val="1"/>
          <w:bCs w:val="1"/>
          <w:color w:val="auto"/>
        </w:rPr>
        <w:t>Section 28. Clawback.</w:t>
      </w:r>
    </w:p>
    <w:p>
      <w:pPr>
        <w:spacing w:after="0" w:line="66" w:lineRule="exact"/>
        <w:rPr>
          <w:sz w:val="20"/>
          <w:szCs w:val="20"/>
          <w:color w:val="auto"/>
        </w:rPr>
      </w:pPr>
    </w:p>
    <w:p>
      <w:pPr>
        <w:jc w:val="both"/>
        <w:ind w:right="540" w:firstLine="575"/>
        <w:spacing w:after="0" w:line="253" w:lineRule="auto"/>
        <w:rPr>
          <w:sz w:val="20"/>
          <w:szCs w:val="20"/>
          <w:color w:val="auto"/>
        </w:rPr>
      </w:pPr>
      <w:r>
        <w:rPr>
          <w:rFonts w:ascii="Arial" w:cs="Arial" w:eastAsia="Arial" w:hAnsi="Arial"/>
          <w:sz w:val="15"/>
          <w:szCs w:val="15"/>
          <w:color w:val="auto"/>
        </w:rPr>
        <w:t>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29. Section 409A of the Code.</w:t>
      </w:r>
    </w:p>
    <w:p>
      <w:pPr>
        <w:spacing w:after="0" w:line="66" w:lineRule="exact"/>
        <w:rPr>
          <w:sz w:val="20"/>
          <w:szCs w:val="20"/>
          <w:color w:val="auto"/>
        </w:rPr>
      </w:pPr>
    </w:p>
    <w:p>
      <w:pPr>
        <w:ind w:right="320" w:firstLine="575"/>
        <w:spacing w:after="0" w:line="245" w:lineRule="auto"/>
        <w:rPr>
          <w:sz w:val="20"/>
          <w:szCs w:val="20"/>
          <w:color w:val="auto"/>
        </w:rPr>
      </w:pPr>
      <w:r>
        <w:rPr>
          <w:rFonts w:ascii="Arial" w:cs="Arial" w:eastAsia="Arial" w:hAnsi="Arial"/>
          <w:sz w:val="16"/>
          <w:szCs w:val="16"/>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w:t>
      </w:r>
    </w:p>
    <w:p>
      <w:pPr>
        <w:spacing w:after="0" w:line="35" w:lineRule="exact"/>
        <w:rPr>
          <w:sz w:val="20"/>
          <w:szCs w:val="20"/>
          <w:color w:val="auto"/>
        </w:rPr>
      </w:pPr>
    </w:p>
    <w:p>
      <w:pPr>
        <w:ind w:right="80" w:firstLine="82"/>
        <w:spacing w:after="0" w:line="233" w:lineRule="auto"/>
        <w:rPr>
          <w:sz w:val="20"/>
          <w:szCs w:val="20"/>
          <w:color w:val="auto"/>
        </w:rPr>
      </w:pPr>
      <w:r>
        <w:rPr>
          <w:rFonts w:ascii="Arial" w:cs="Arial" w:eastAsia="Arial" w:hAnsi="Arial"/>
          <w:sz w:val="15"/>
          <w:szCs w:val="15"/>
          <w:color w:val="auto"/>
        </w:rPr>
        <w:t>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Administrator shall have the sole authority to make any accelerated distributions permissible under Treas. Reg. Section 1.409A-3(j)(4) to Participants with respect to any deferred amounts, provided that such distributions meets the requirements of Treas. Reg.</w:t>
      </w:r>
    </w:p>
    <w:p>
      <w:pPr>
        <w:spacing w:after="0" w:line="46" w:lineRule="exact"/>
        <w:rPr>
          <w:sz w:val="20"/>
          <w:szCs w:val="20"/>
          <w:color w:val="auto"/>
        </w:rPr>
      </w:pPr>
    </w:p>
    <w:p>
      <w:pPr>
        <w:ind w:right="40" w:firstLine="82"/>
        <w:spacing w:after="0" w:line="233" w:lineRule="auto"/>
        <w:rPr>
          <w:sz w:val="20"/>
          <w:szCs w:val="20"/>
          <w:color w:val="auto"/>
        </w:rPr>
      </w:pPr>
      <w:r>
        <w:rPr>
          <w:rFonts w:ascii="Arial" w:cs="Arial" w:eastAsia="Arial" w:hAnsi="Arial"/>
          <w:sz w:val="16"/>
          <w:szCs w:val="16"/>
          <w:color w:val="auto"/>
        </w:rPr>
        <w:t>Section 1.409A-3(j)(4).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30. Governing Law.</w:t>
      </w:r>
    </w:p>
    <w:p>
      <w:pPr>
        <w:spacing w:after="0" w:line="66" w:lineRule="exact"/>
        <w:rPr>
          <w:sz w:val="20"/>
          <w:szCs w:val="20"/>
          <w:color w:val="auto"/>
        </w:rPr>
      </w:pPr>
    </w:p>
    <w:p>
      <w:pPr>
        <w:ind w:right="260" w:firstLine="575"/>
        <w:spacing w:after="0" w:line="245" w:lineRule="auto"/>
        <w:rPr>
          <w:sz w:val="20"/>
          <w:szCs w:val="20"/>
          <w:color w:val="auto"/>
        </w:rPr>
      </w:pPr>
      <w:r>
        <w:rPr>
          <w:rFonts w:ascii="Arial" w:cs="Arial" w:eastAsia="Arial" w:hAnsi="Arial"/>
          <w:sz w:val="16"/>
          <w:szCs w:val="16"/>
          <w:color w:val="auto"/>
        </w:rPr>
        <w:t>The Plan shall be governed by and construed in accordance with the laws of the State of Delaware, without giving effect to the principles of conflicts of law of such state.</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31. Titles and Headings.</w:t>
      </w:r>
    </w:p>
    <w:p>
      <w:pPr>
        <w:spacing w:after="0" w:line="66" w:lineRule="exact"/>
        <w:rPr>
          <w:sz w:val="20"/>
          <w:szCs w:val="20"/>
          <w:color w:val="auto"/>
        </w:rPr>
      </w:pPr>
    </w:p>
    <w:p>
      <w:pPr>
        <w:ind w:firstLine="575"/>
        <w:spacing w:after="0" w:line="245" w:lineRule="auto"/>
        <w:rPr>
          <w:sz w:val="20"/>
          <w:szCs w:val="20"/>
          <w:color w:val="auto"/>
        </w:rPr>
      </w:pPr>
      <w:r>
        <w:rPr>
          <w:rFonts w:ascii="Arial" w:cs="Arial" w:eastAsia="Arial" w:hAnsi="Arial"/>
          <w:sz w:val="16"/>
          <w:szCs w:val="16"/>
          <w:color w:val="auto"/>
        </w:rPr>
        <w:t>The titles and headings of the sections in the Plan are for convenience of reference only and, in the event of any conflict, the text of the Plan, rather than such titles or headings, shall control.</w:t>
      </w:r>
    </w:p>
    <w:p>
      <w:pPr>
        <w:sectPr>
          <w:pgSz w:w="11900" w:h="16838" w:orient="portrait"/>
          <w:cols w:equalWidth="0" w:num="1">
            <w:col w:w="11260"/>
          </w:cols>
          <w:pgMar w:left="300" w:top="1145" w:right="339" w:bottom="1440" w:gutter="0" w:footer="0" w:header="0"/>
        </w:sectPr>
      </w:pPr>
    </w:p>
    <w:bookmarkStart w:id="278" w:name="page279"/>
    <w:bookmarkEnd w:id="278"/>
    <w:p>
      <w:pPr>
        <w:ind w:left="80"/>
        <w:spacing w:after="0"/>
        <w:rPr>
          <w:sz w:val="20"/>
          <w:szCs w:val="20"/>
          <w:color w:val="auto"/>
        </w:rPr>
      </w:pPr>
      <w:r>
        <w:rPr>
          <w:rFonts w:ascii="Arial" w:cs="Arial" w:eastAsia="Arial" w:hAnsi="Arial"/>
          <w:sz w:val="16"/>
          <w:szCs w:val="16"/>
          <w:b w:val="1"/>
          <w:bCs w:val="1"/>
          <w:color w:val="auto"/>
        </w:rPr>
        <w:t>Section 32. Successors.</w:t>
      </w:r>
    </w:p>
    <w:p>
      <w:pPr>
        <w:spacing w:after="0" w:line="66" w:lineRule="exact"/>
        <w:rPr>
          <w:sz w:val="20"/>
          <w:szCs w:val="20"/>
          <w:color w:val="auto"/>
        </w:rPr>
      </w:pPr>
    </w:p>
    <w:p>
      <w:pPr>
        <w:ind w:firstLine="575"/>
        <w:spacing w:after="0" w:line="278" w:lineRule="auto"/>
        <w:rPr>
          <w:sz w:val="20"/>
          <w:szCs w:val="20"/>
          <w:color w:val="auto"/>
        </w:rPr>
      </w:pPr>
      <w:r>
        <w:rPr>
          <w:rFonts w:ascii="Arial" w:cs="Arial" w:eastAsia="Arial" w:hAnsi="Arial"/>
          <w:sz w:val="15"/>
          <w:szCs w:val="15"/>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33. Relationship to Other Benefits.</w:t>
      </w:r>
    </w:p>
    <w:p>
      <w:pPr>
        <w:spacing w:after="0" w:line="66" w:lineRule="exact"/>
        <w:rPr>
          <w:sz w:val="20"/>
          <w:szCs w:val="20"/>
          <w:color w:val="auto"/>
        </w:rPr>
      </w:pPr>
    </w:p>
    <w:p>
      <w:pPr>
        <w:jc w:val="both"/>
        <w:ind w:right="40" w:firstLine="575"/>
        <w:spacing w:after="0" w:line="315" w:lineRule="auto"/>
        <w:rPr>
          <w:sz w:val="20"/>
          <w:szCs w:val="20"/>
          <w:color w:val="auto"/>
        </w:rPr>
      </w:pPr>
      <w:r>
        <w:rPr>
          <w:rFonts w:ascii="Arial" w:cs="Arial" w:eastAsia="Arial" w:hAnsi="Arial"/>
          <w:sz w:val="14"/>
          <w:szCs w:val="14"/>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ectPr>
          <w:pgSz w:w="11900" w:h="16838" w:orient="portrait"/>
          <w:cols w:equalWidth="0" w:num="1">
            <w:col w:w="11160"/>
          </w:cols>
          <w:pgMar w:left="300" w:top="1145" w:right="4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5"/>
          <w:szCs w:val="15"/>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REGISTRATION RIGHTS AGREEMENT</w:t>
      </w:r>
    </w:p>
    <w:p>
      <w:pPr>
        <w:spacing w:after="0" w:line="169" w:lineRule="exact"/>
        <w:rPr>
          <w:sz w:val="20"/>
          <w:szCs w:val="20"/>
          <w:color w:val="auto"/>
        </w:rPr>
      </w:pPr>
    </w:p>
    <w:p>
      <w:pPr>
        <w:ind w:right="600" w:firstLine="492"/>
        <w:spacing w:after="0" w:line="228" w:lineRule="auto"/>
        <w:rPr>
          <w:sz w:val="20"/>
          <w:szCs w:val="20"/>
          <w:color w:val="auto"/>
        </w:rPr>
      </w:pPr>
      <w:r>
        <w:rPr>
          <w:rFonts w:ascii="Arial" w:cs="Arial" w:eastAsia="Arial" w:hAnsi="Arial"/>
          <w:sz w:val="16"/>
          <w:szCs w:val="16"/>
          <w:color w:val="auto"/>
        </w:rPr>
        <w:t xml:space="preserve">THIS REGISTRATION RIGHTS AGREEMENT (this “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this 20th day of September, 2021 by and between Enact Holdings, Inc. (formerly, Genworth Mortgage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investment vehicles managed by Bayview Asset Management, LLC (“</w:t>
      </w:r>
      <w:r>
        <w:rPr>
          <w:rFonts w:ascii="Arial" w:cs="Arial" w:eastAsia="Arial" w:hAnsi="Arial"/>
          <w:sz w:val="16"/>
          <w:szCs w:val="16"/>
          <w:u w:val="single" w:color="auto"/>
          <w:color w:val="auto"/>
        </w:rPr>
        <w:t>Bayview</w:t>
      </w:r>
      <w:r>
        <w:rPr>
          <w:rFonts w:ascii="Arial" w:cs="Arial" w:eastAsia="Arial" w:hAnsi="Arial"/>
          <w:sz w:val="16"/>
          <w:szCs w:val="16"/>
          <w:color w:val="auto"/>
        </w:rPr>
        <w:t xml:space="preserv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(such persons, in their capacities as holders of Registrable Securities (as defined below), the “</w:t>
      </w:r>
      <w:r>
        <w:rPr>
          <w:rFonts w:ascii="Arial" w:cs="Arial" w:eastAsia="Arial" w:hAnsi="Arial"/>
          <w:sz w:val="16"/>
          <w:szCs w:val="16"/>
          <w:u w:val="single" w:color="auto"/>
          <w:color w:val="auto"/>
        </w:rPr>
        <w:t>Holders</w:t>
      </w:r>
      <w:r>
        <w:rPr>
          <w:rFonts w:ascii="Arial" w:cs="Arial" w:eastAsia="Arial" w:hAnsi="Arial"/>
          <w:sz w:val="16"/>
          <w:szCs w:val="16"/>
          <w:color w:val="auto"/>
        </w:rPr>
        <w:t>” and each a “</w:t>
      </w:r>
      <w:r>
        <w:rPr>
          <w:rFonts w:ascii="Arial" w:cs="Arial" w:eastAsia="Arial" w:hAnsi="Arial"/>
          <w:sz w:val="16"/>
          <w:szCs w:val="16"/>
          <w:u w:val="single" w:color="auto"/>
          <w:color w:val="auto"/>
        </w:rPr>
        <w:t>Holder</w:t>
      </w:r>
      <w:r>
        <w:rPr>
          <w:rFonts w:ascii="Arial" w:cs="Arial" w:eastAsia="Arial" w:hAnsi="Arial"/>
          <w:sz w:val="16"/>
          <w:szCs w:val="16"/>
          <w:color w:val="auto"/>
        </w:rPr>
        <w:t>”).</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RECITALS</w:t>
      </w:r>
    </w:p>
    <w:p>
      <w:pPr>
        <w:spacing w:after="0" w:line="179" w:lineRule="exact"/>
        <w:rPr>
          <w:sz w:val="20"/>
          <w:szCs w:val="20"/>
          <w:color w:val="auto"/>
        </w:rPr>
      </w:pPr>
    </w:p>
    <w:p>
      <w:pPr>
        <w:ind w:right="500" w:firstLine="492"/>
        <w:spacing w:after="0" w:line="225" w:lineRule="auto"/>
        <w:rPr>
          <w:sz w:val="20"/>
          <w:szCs w:val="20"/>
          <w:color w:val="auto"/>
        </w:rPr>
      </w:pPr>
      <w:r>
        <w:rPr>
          <w:rFonts w:ascii="Arial" w:cs="Arial" w:eastAsia="Arial" w:hAnsi="Arial"/>
          <w:sz w:val="16"/>
          <w:szCs w:val="16"/>
          <w:color w:val="auto"/>
        </w:rPr>
        <w:t>WHEREAS, this Agreement is being entered into in connection with the Amended and Restated Common Stock Purchase Agreement (the “</w:t>
      </w:r>
      <w:r>
        <w:rPr>
          <w:rFonts w:ascii="Arial" w:cs="Arial" w:eastAsia="Arial" w:hAnsi="Arial"/>
          <w:sz w:val="16"/>
          <w:szCs w:val="16"/>
          <w:u w:val="single" w:color="auto"/>
          <w:color w:val="auto"/>
        </w:rPr>
        <w:t>Stock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19, 2021, among the Company, Genworth Holdings, Inc. (“</w:t>
      </w:r>
      <w:r>
        <w:rPr>
          <w:rFonts w:ascii="Arial" w:cs="Arial" w:eastAsia="Arial" w:hAnsi="Arial"/>
          <w:sz w:val="16"/>
          <w:szCs w:val="16"/>
          <w:u w:val="single" w:color="auto"/>
          <w:color w:val="auto"/>
        </w:rPr>
        <w:t>GHI</w:t>
      </w:r>
      <w:r>
        <w:rPr>
          <w:rFonts w:ascii="Arial" w:cs="Arial" w:eastAsia="Arial" w:hAnsi="Arial"/>
          <w:sz w:val="16"/>
          <w:szCs w:val="16"/>
          <w:color w:val="auto"/>
        </w:rPr>
        <w:t>”) and the Holders, pursuant to which GHI has agreed to sell to the Holders, and the Holders have agreed to purchase from GHI, an aggregate of 14,655,600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subject to the terms and conditions stated therein, in a private placement transaction substantially concurrent with the proposed initial public offering of Common Stock (the “</w:t>
      </w:r>
      <w:r>
        <w:rPr>
          <w:rFonts w:ascii="Arial" w:cs="Arial" w:eastAsia="Arial" w:hAnsi="Arial"/>
          <w:sz w:val="16"/>
          <w:szCs w:val="16"/>
          <w:u w:val="single" w:color="auto"/>
          <w:color w:val="auto"/>
        </w:rPr>
        <w:t>IPO</w:t>
      </w:r>
      <w:r>
        <w:rPr>
          <w:rFonts w:ascii="Arial" w:cs="Arial" w:eastAsia="Arial" w:hAnsi="Arial"/>
          <w:sz w:val="16"/>
          <w:szCs w:val="16"/>
          <w:color w:val="auto"/>
        </w:rPr>
        <w:t>”).</w:t>
      </w:r>
    </w:p>
    <w:p>
      <w:pPr>
        <w:spacing w:after="0" w:line="153" w:lineRule="exact"/>
        <w:rPr>
          <w:sz w:val="20"/>
          <w:szCs w:val="20"/>
          <w:color w:val="auto"/>
        </w:rPr>
      </w:pPr>
    </w:p>
    <w:p>
      <w:pPr>
        <w:ind w:right="700" w:firstLine="492"/>
        <w:spacing w:after="0" w:line="245" w:lineRule="auto"/>
        <w:rPr>
          <w:sz w:val="20"/>
          <w:szCs w:val="20"/>
          <w:color w:val="auto"/>
        </w:rPr>
      </w:pPr>
      <w:r>
        <w:rPr>
          <w:rFonts w:ascii="Arial" w:cs="Arial" w:eastAsia="Arial" w:hAnsi="Arial"/>
          <w:sz w:val="16"/>
          <w:szCs w:val="16"/>
          <w:color w:val="auto"/>
        </w:rPr>
        <w:t>NOW, THEREFORE, in consideration of the mutual promises and covenants herein contained and for other good and valuable consideration, the receipt and sufficiency of which are hereby acknowledged, the parties hereto agree as follows:</w:t>
      </w:r>
    </w:p>
    <w:p>
      <w:pPr>
        <w:spacing w:after="0" w:line="148"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Agreement, the following terms shall have the following meanings:</w:t>
      </w:r>
    </w:p>
    <w:p>
      <w:pPr>
        <w:spacing w:after="0" w:line="165" w:lineRule="exact"/>
        <w:rPr>
          <w:sz w:val="20"/>
          <w:szCs w:val="20"/>
          <w:color w:val="auto"/>
        </w:rPr>
      </w:pPr>
    </w:p>
    <w:p>
      <w:pPr>
        <w:ind w:right="600" w:firstLine="492"/>
        <w:spacing w:after="0" w:line="2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 specified person, any other person that directly, or indirectly through one or more intermediaries, controls, is controlled by or is under common control with such specified person. For purposes of this definition, “control” (including the</w:t>
      </w:r>
    </w:p>
    <w:p>
      <w:pPr>
        <w:ind w:right="880"/>
        <w:spacing w:after="0" w:line="233" w:lineRule="auto"/>
        <w:rPr>
          <w:sz w:val="20"/>
          <w:szCs w:val="20"/>
          <w:color w:val="auto"/>
        </w:rPr>
      </w:pPr>
      <w:r>
        <w:rPr>
          <w:rFonts w:ascii="Arial" w:cs="Arial" w:eastAsia="Arial" w:hAnsi="Arial"/>
          <w:sz w:val="16"/>
          <w:szCs w:val="16"/>
          <w:color w:val="auto"/>
        </w:rPr>
        <w:t>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Company’s Board of Directors.</w:t>
      </w:r>
    </w:p>
    <w:p>
      <w:pPr>
        <w:spacing w:after="0" w:line="175" w:lineRule="exact"/>
        <w:rPr>
          <w:sz w:val="20"/>
          <w:szCs w:val="20"/>
          <w:color w:val="auto"/>
        </w:rPr>
      </w:pPr>
    </w:p>
    <w:p>
      <w:pPr>
        <w:ind w:right="520" w:firstLine="492"/>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Sunday or other day on which commercial banks in New York, New York are authorized or required by law or executive order to close.</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have the meaning set forth in the Recitals.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shall have the meaning set forth in Section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2(c).</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Demand Registration Statement</w:t>
      </w:r>
      <w:r>
        <w:rPr>
          <w:rFonts w:ascii="Arial" w:cs="Arial" w:eastAsia="Arial" w:hAnsi="Arial"/>
          <w:sz w:val="16"/>
          <w:szCs w:val="16"/>
          <w:color w:val="auto"/>
        </w:rPr>
        <w:t>” shall have the meaning set forth in Section 2(c). “</w:t>
      </w:r>
      <w:r>
        <w:rPr>
          <w:rFonts w:ascii="Arial" w:cs="Arial" w:eastAsia="Arial" w:hAnsi="Arial"/>
          <w:sz w:val="16"/>
          <w:szCs w:val="16"/>
          <w:u w:val="single" w:color="auto"/>
          <w:color w:val="auto"/>
        </w:rPr>
        <w:t>End of Suspension Notice</w:t>
      </w:r>
      <w:r>
        <w:rPr>
          <w:rFonts w:ascii="Arial" w:cs="Arial" w:eastAsia="Arial" w:hAnsi="Arial"/>
          <w:sz w:val="16"/>
          <w:szCs w:val="16"/>
          <w:color w:val="auto"/>
        </w:rPr>
        <w:t>” shall have the meaning set forth in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Section 2[(h)](ii).</w:t>
      </w:r>
    </w:p>
    <w:p>
      <w:pPr>
        <w:sectPr>
          <w:pgSz w:w="11900" w:h="16838" w:orient="portrait"/>
          <w:cols w:equalWidth="0" w:num="1">
            <w:col w:w="11200"/>
          </w:cols>
          <w:pgMar w:left="380" w:top="112" w:right="319" w:bottom="1440" w:gutter="0" w:footer="0" w:header="0"/>
        </w:sectPr>
      </w:pPr>
    </w:p>
    <w:bookmarkStart w:id="280" w:name="page281"/>
    <w:bookmarkEnd w:id="280"/>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U.S. Securities Exchange Act of 1934, as amended, and the rules and regulations thereunder.</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Initiating Holder</w:t>
      </w:r>
      <w:r>
        <w:rPr>
          <w:rFonts w:ascii="Arial" w:cs="Arial" w:eastAsia="Arial" w:hAnsi="Arial"/>
          <w:sz w:val="16"/>
          <w:szCs w:val="16"/>
          <w:color w:val="auto"/>
        </w:rPr>
        <w:t>” shall have the meaning set forth in Section 2(b). “</w:t>
      </w:r>
      <w:r>
        <w:rPr>
          <w:rFonts w:ascii="Arial" w:cs="Arial" w:eastAsia="Arial" w:hAnsi="Arial"/>
          <w:sz w:val="16"/>
          <w:szCs w:val="16"/>
          <w:u w:val="single" w:color="auto"/>
          <w:color w:val="auto"/>
        </w:rPr>
        <w:t>IPO</w:t>
      </w:r>
      <w:r>
        <w:rPr>
          <w:rFonts w:ascii="Arial" w:cs="Arial" w:eastAsia="Arial" w:hAnsi="Arial"/>
          <w:sz w:val="16"/>
          <w:szCs w:val="16"/>
          <w:color w:val="auto"/>
        </w:rPr>
        <w:t>” shall have the meaning set forth in the Recitals.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w:t>
      </w:r>
      <w:r>
        <w:rPr>
          <w:rFonts w:ascii="Arial" w:cs="Arial" w:eastAsia="Arial" w:hAnsi="Arial"/>
          <w:sz w:val="16"/>
          <w:szCs w:val="16"/>
          <w:color w:val="auto"/>
        </w:rPr>
        <w:t>” shall have the meaning assigned to such term in the Stock Purchase Agreement.</w:t>
      </w:r>
    </w:p>
    <w:p>
      <w:pPr>
        <w:spacing w:after="0" w:line="175" w:lineRule="exact"/>
        <w:rPr>
          <w:sz w:val="20"/>
          <w:szCs w:val="20"/>
          <w:color w:val="auto"/>
        </w:rPr>
      </w:pPr>
    </w:p>
    <w:p>
      <w:pPr>
        <w:ind w:right="80" w:firstLine="492"/>
        <w:spacing w:after="0" w:line="21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(i) the Shares held by a Holder and (ii) any securities issued or issuable, directly or indirectly, with respect to such Shares by way of conversion, exchange, stock dividend or stock split or in connection with a combination of shares, merger, consolidation, business combination, scheme of arrangement, amalgamation, recapitalization or similar transaction; provided that any securities constituting Registrable Securities will cease to be Registrable Securities when (a) such securities are sold in a private transaction in which the</w:t>
      </w:r>
    </w:p>
    <w:p>
      <w:pPr>
        <w:spacing w:after="0" w:line="2" w:lineRule="exact"/>
        <w:rPr>
          <w:sz w:val="20"/>
          <w:szCs w:val="20"/>
          <w:color w:val="auto"/>
        </w:rPr>
      </w:pPr>
    </w:p>
    <w:p>
      <w:pPr>
        <w:ind w:right="300"/>
        <w:spacing w:after="0" w:line="221" w:lineRule="auto"/>
        <w:rPr>
          <w:sz w:val="20"/>
          <w:szCs w:val="20"/>
          <w:color w:val="auto"/>
        </w:rPr>
      </w:pPr>
      <w:r>
        <w:rPr>
          <w:rFonts w:ascii="Arial" w:cs="Arial" w:eastAsia="Arial" w:hAnsi="Arial"/>
          <w:sz w:val="16"/>
          <w:szCs w:val="16"/>
          <w:color w:val="auto"/>
        </w:rPr>
        <w:t>transferor’s rights under this Agreement are not assigned to the transferee of the securities, (b) such securities are sold pursuant to an effective Registration Statement, (c) such securities are sold pursuant to Rule 144, (d) such securities shall have ceased to be outstanding or (e)(1) the date on which such securities may be resold pursuant to Rule 144, without regard to volume or manner of sale limitations or the availability of current public information with respect to the Company, whether or not any such sale has occurred, and (2) and the Holders in the aggregate own less than 3.0% of the then outstanding shares of Common Stock.</w:t>
      </w:r>
    </w:p>
    <w:p>
      <w:pPr>
        <w:spacing w:after="0" w:line="154" w:lineRule="exact"/>
        <w:rPr>
          <w:sz w:val="20"/>
          <w:szCs w:val="20"/>
          <w:color w:val="auto"/>
        </w:rPr>
      </w:pPr>
    </w:p>
    <w:p>
      <w:pPr>
        <w:ind w:firstLine="492"/>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Expenses</w:t>
      </w:r>
      <w:r>
        <w:rPr>
          <w:rFonts w:ascii="Arial" w:cs="Arial" w:eastAsia="Arial" w:hAnsi="Arial"/>
          <w:sz w:val="14"/>
          <w:szCs w:val="14"/>
          <w:color w:val="auto"/>
        </w:rPr>
        <w:t xml:space="preserve">” shall mean all expenses incurred by the Company in effecting any registration or any offering and sale pursuant to this Agreement, including registration, qualification, listing and filing fees (including, without limitation, all SEC and Financial Industry Regulatory Authority filing fees), transfer agent and registrar fees and expenses, fees and disbursements of the independent registered public accounting firm retained by the Company (including any comfort letters), and internal fees and expenses of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in this definition shall affect any agreement on expenses solely between the Company and its affiliates and any underwriter. “Registration Expenses” shall not include, and the Selling Holders shall be responsible for, all Selling Expenses.</w:t>
      </w:r>
    </w:p>
    <w:p>
      <w:pPr>
        <w:spacing w:after="0" w:line="127" w:lineRule="exact"/>
        <w:rPr>
          <w:sz w:val="20"/>
          <w:szCs w:val="20"/>
          <w:color w:val="auto"/>
        </w:rPr>
      </w:pPr>
    </w:p>
    <w:p>
      <w:pPr>
        <w:ind w:right="60" w:firstLine="492"/>
        <w:spacing w:after="0" w:line="2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under the Securities Act that permits the public offering of any of the Registrable Securities pursuant to the provisions of this Agreement, including the prospectus, amendments and supplements to such registration statement, including post-effective amendments, all exhibits, all material incorporated by reference or deemed to be incorporated by reference in such registration statements and all other documents filed with the SEC to effect a registration under the Securities Act.</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shall mean Rule 144 promulgated under the Securities Act (or any successor provision).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shall mean the U.S. Securities and Exchange Commission.</w:t>
      </w:r>
    </w:p>
    <w:p>
      <w:pPr>
        <w:sectPr>
          <w:pgSz w:w="11900" w:h="16838" w:orient="portrait"/>
          <w:cols w:equalWidth="0" w:num="1">
            <w:col w:w="10700"/>
          </w:cols>
          <w:pgMar w:left="380" w:top="1098" w:right="819" w:bottom="1440" w:gutter="0" w:footer="0" w:header="0"/>
        </w:sectPr>
      </w:pPr>
    </w:p>
    <w:bookmarkStart w:id="281" w:name="page282"/>
    <w:bookmarkEnd w:id="281"/>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U.S. Securities Act of 1933, as amended, and the rules and regulations thereunder.</w:t>
      </w:r>
    </w:p>
    <w:p>
      <w:pPr>
        <w:spacing w:after="0" w:line="165" w:lineRule="exact"/>
        <w:rPr>
          <w:sz w:val="20"/>
          <w:szCs w:val="20"/>
          <w:color w:val="auto"/>
        </w:rPr>
      </w:pPr>
    </w:p>
    <w:p>
      <w:pPr>
        <w:ind w:right="340" w:firstLine="492"/>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Expenses</w:t>
      </w:r>
      <w:r>
        <w:rPr>
          <w:rFonts w:ascii="Arial" w:cs="Arial" w:eastAsia="Arial" w:hAnsi="Arial"/>
          <w:sz w:val="16"/>
          <w:szCs w:val="16"/>
          <w:color w:val="auto"/>
        </w:rPr>
        <w:t>” shall mean all underwriting discounts, selling commissions, stock transfer taxes applicable to the sale or transfer of Registrable Securities, and other selling expenses associated with effecting any sales of Registrable Securities under any registration statement which are not included as Registration Expenses.</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shall have the meaning in the Recitals.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Period</w:t>
      </w:r>
      <w:r>
        <w:rPr>
          <w:rFonts w:ascii="Arial" w:cs="Arial" w:eastAsia="Arial" w:hAnsi="Arial"/>
          <w:sz w:val="16"/>
          <w:szCs w:val="16"/>
          <w:color w:val="auto"/>
        </w:rPr>
        <w:t>” shall have the meaning set forth in Section 2(a).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shall have the meaning set forth in Section 2(a).</w:t>
      </w:r>
    </w:p>
    <w:p>
      <w:pPr>
        <w:spacing w:after="0" w:line="83" w:lineRule="exact"/>
        <w:rPr>
          <w:sz w:val="20"/>
          <w:szCs w:val="20"/>
          <w:color w:val="auto"/>
        </w:rPr>
      </w:pPr>
    </w:p>
    <w:p>
      <w:pPr>
        <w:ind w:right="420" w:firstLine="492"/>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shall mean a Registration Statement on Form S-3 (or successor form) that contemplates offers and sales of securities pursuant to Rule 415 under the Securities Act.</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Take-Down</w:t>
      </w:r>
      <w:r>
        <w:rPr>
          <w:rFonts w:ascii="Arial" w:cs="Arial" w:eastAsia="Arial" w:hAnsi="Arial"/>
          <w:sz w:val="16"/>
          <w:szCs w:val="16"/>
          <w:color w:val="auto"/>
        </w:rPr>
        <w:t>” shall have the meaning set forth in Section 2(b).</w:t>
      </w:r>
    </w:p>
    <w:p>
      <w:pPr>
        <w:spacing w:after="0" w:line="175" w:lineRule="exact"/>
        <w:rPr>
          <w:sz w:val="20"/>
          <w:szCs w:val="20"/>
          <w:color w:val="auto"/>
        </w:rPr>
      </w:pPr>
    </w:p>
    <w:p>
      <w:pPr>
        <w:ind w:right="120" w:firstLine="492"/>
        <w:spacing w:after="0" w:line="2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Registration</w:t>
      </w:r>
      <w:r>
        <w:rPr>
          <w:rFonts w:ascii="Arial" w:cs="Arial" w:eastAsia="Arial" w:hAnsi="Arial"/>
          <w:sz w:val="16"/>
          <w:szCs w:val="16"/>
          <w:color w:val="auto"/>
        </w:rPr>
        <w:t>” shall mean the registration of equity securities, options or similar rights registered on Form S-4, Form S-8 or any successor forms thereto or any other form for the registration of securities issued or to be issued in connection with a merger, acquisition, employee benefit plan or equity compensation or incentive plan.</w:t>
      </w:r>
    </w:p>
    <w:p>
      <w:pPr>
        <w:spacing w:after="0" w:line="151" w:lineRule="exact"/>
        <w:rPr>
          <w:sz w:val="20"/>
          <w:szCs w:val="20"/>
          <w:color w:val="auto"/>
        </w:rPr>
      </w:pPr>
    </w:p>
    <w:p>
      <w:pPr>
        <w:ind w:right="220" w:firstLine="492"/>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Substantial Marketing Efforts</w:t>
      </w:r>
      <w:r>
        <w:rPr>
          <w:rFonts w:ascii="Arial" w:cs="Arial" w:eastAsia="Arial" w:hAnsi="Arial"/>
          <w:sz w:val="16"/>
          <w:szCs w:val="16"/>
          <w:color w:val="auto"/>
        </w:rPr>
        <w:t>” shall mean marketing efforts that take place over a period of more than 48 hours or any marketing efforts involving in-person meetings with prospective investors even if such marketing efforts occur over a period of time lasting less than 48 hours.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Purchase Agreement</w:t>
      </w:r>
      <w:r>
        <w:rPr>
          <w:rFonts w:ascii="Arial" w:cs="Arial" w:eastAsia="Arial" w:hAnsi="Arial"/>
          <w:sz w:val="16"/>
          <w:szCs w:val="16"/>
          <w:color w:val="auto"/>
        </w:rPr>
        <w:t>” shall have the meaning set forth in the Recitals. “</w:t>
      </w:r>
      <w:r>
        <w:rPr>
          <w:rFonts w:ascii="Arial" w:cs="Arial" w:eastAsia="Arial" w:hAnsi="Arial"/>
          <w:sz w:val="16"/>
          <w:szCs w:val="16"/>
          <w:u w:val="single" w:color="auto"/>
          <w:color w:val="auto"/>
        </w:rPr>
        <w:t>Suspension</w:t>
      </w:r>
      <w:r>
        <w:rPr>
          <w:rFonts w:ascii="Arial" w:cs="Arial" w:eastAsia="Arial" w:hAnsi="Arial"/>
          <w:sz w:val="16"/>
          <w:szCs w:val="16"/>
          <w:color w:val="auto"/>
        </w:rPr>
        <w:t>” shall have the meaning set forth in Section 2(h).</w:t>
      </w:r>
    </w:p>
    <w:p>
      <w:pPr>
        <w:spacing w:after="0" w:line="165" w:lineRule="exact"/>
        <w:rPr>
          <w:sz w:val="20"/>
          <w:szCs w:val="20"/>
          <w:color w:val="auto"/>
        </w:rPr>
      </w:pPr>
    </w:p>
    <w:p>
      <w:pPr>
        <w:ind w:left="480"/>
        <w:spacing w:after="0"/>
        <w:tabs>
          <w:tab w:leader="none" w:pos="5880" w:val="left"/>
        </w:tabs>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Suspension Notice</w:t>
      </w:r>
      <w:r>
        <w:rPr>
          <w:rFonts w:ascii="Arial" w:cs="Arial" w:eastAsia="Arial" w:hAnsi="Arial"/>
          <w:sz w:val="16"/>
          <w:szCs w:val="16"/>
          <w:color w:val="auto"/>
        </w:rPr>
        <w:t>” shall have the meaning set forth in Section 2(h). Section 2.</w:t>
      </w:r>
      <w:r>
        <w:rPr>
          <w:sz w:val="20"/>
          <w:szCs w:val="20"/>
          <w:color w:val="auto"/>
        </w:rPr>
        <w:tab/>
      </w:r>
      <w:r>
        <w:rPr>
          <w:rFonts w:ascii="Arial" w:cs="Arial" w:eastAsia="Arial" w:hAnsi="Arial"/>
          <w:sz w:val="15"/>
          <w:szCs w:val="15"/>
          <w:u w:val="single" w:color="auto"/>
          <w:color w:val="auto"/>
        </w:rPr>
        <w:t>Registration Rights</w:t>
      </w:r>
      <w:r>
        <w:rPr>
          <w:rFonts w:ascii="Arial" w:cs="Arial" w:eastAsia="Arial" w:hAnsi="Arial"/>
          <w:sz w:val="15"/>
          <w:szCs w:val="15"/>
          <w:color w:val="auto"/>
        </w:rPr>
        <w:t>.</w:t>
      </w:r>
    </w:p>
    <w:p>
      <w:pPr>
        <w:spacing w:after="0" w:line="72" w:lineRule="exact"/>
        <w:rPr>
          <w:sz w:val="20"/>
          <w:szCs w:val="20"/>
          <w:color w:val="auto"/>
        </w:rPr>
      </w:pPr>
    </w:p>
    <w:p>
      <w:pPr>
        <w:ind w:firstLine="974"/>
        <w:spacing w:after="0" w:line="238" w:lineRule="auto"/>
        <w:tabs>
          <w:tab w:leader="none" w:pos="1402"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Shelf Registration Statement</w:t>
      </w:r>
      <w:r>
        <w:rPr>
          <w:rFonts w:ascii="Arial" w:cs="Arial" w:eastAsia="Arial" w:hAnsi="Arial"/>
          <w:sz w:val="15"/>
          <w:szCs w:val="15"/>
          <w:color w:val="auto"/>
        </w:rPr>
        <w:t>. Promptly but no later than 90 days after the date the Company first becomes eligible to file a Shelf Registration Statement, upon the written request of the Holders, the Company shall file with the SEC a Shelf Registration Statement (which, if the Company is eligible to file such, shall be as an automatic shelf registration as defined in Rule 405 under the Securities Act) relating to the offer and resale of Registrable Securities by any Holders from time to time in accordance with the methods of distribution set forth in the Plan of Distribution section of the Shelf Registration Statement, and, if such Shelf Registration Statement is not automatically effective upon filing, the Company shall use its commercially reasonable efforts to cause such Shelf Registration Statement to promptly be declared or otherwise become effective under the Securities Act. Any such registration pursuant</w:t>
      </w:r>
    </w:p>
    <w:p>
      <w:pPr>
        <w:sectPr>
          <w:pgSz w:w="11900" w:h="16838" w:orient="portrait"/>
          <w:cols w:equalWidth="0" w:num="1">
            <w:col w:w="10620"/>
          </w:cols>
          <w:pgMar w:left="380" w:top="1282" w:right="899" w:bottom="1440" w:gutter="0" w:footer="0" w:header="0"/>
        </w:sectPr>
      </w:pPr>
    </w:p>
    <w:bookmarkStart w:id="282" w:name="page283"/>
    <w:bookmarkEnd w:id="282"/>
    <w:p>
      <w:pPr>
        <w:ind w:right="160"/>
        <w:spacing w:after="0" w:line="228" w:lineRule="auto"/>
        <w:rPr>
          <w:sz w:val="20"/>
          <w:szCs w:val="20"/>
          <w:color w:val="auto"/>
        </w:rPr>
      </w:pPr>
      <w:r>
        <w:rPr>
          <w:rFonts w:ascii="Arial" w:cs="Arial" w:eastAsia="Arial" w:hAnsi="Arial"/>
          <w:sz w:val="16"/>
          <w:szCs w:val="16"/>
          <w:color w:val="auto"/>
        </w:rPr>
        <w:t>to the Shelf Registration Statement shall hereinafter be referred to as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For so long as any Registrable Securities remain outstanding, the Company shall use its commercially reasonable efforts to maintain the effectiveness of such Shelf Registration Statement for the maximum period permitted by SEC rules, and shall replace any Shelf Registration Statement at or before expiration, if applicable, with a successor effective Shelf Registration Statement (such period of effectiveness, the “</w:t>
      </w:r>
      <w:r>
        <w:rPr>
          <w:rFonts w:ascii="Arial" w:cs="Arial" w:eastAsia="Arial" w:hAnsi="Arial"/>
          <w:sz w:val="16"/>
          <w:szCs w:val="16"/>
          <w:u w:val="single" w:color="auto"/>
          <w:color w:val="auto"/>
        </w:rPr>
        <w:t>Shelf Period</w:t>
      </w:r>
      <w:r>
        <w:rPr>
          <w:rFonts w:ascii="Arial" w:cs="Arial" w:eastAsia="Arial" w:hAnsi="Arial"/>
          <w:sz w:val="16"/>
          <w:szCs w:val="16"/>
          <w:color w:val="auto"/>
        </w:rPr>
        <w:t>”).</w:t>
      </w:r>
    </w:p>
    <w:p>
      <w:pPr>
        <w:spacing w:after="0" w:line="142" w:lineRule="exact"/>
        <w:rPr>
          <w:sz w:val="20"/>
          <w:szCs w:val="20"/>
          <w:color w:val="auto"/>
        </w:rPr>
      </w:pPr>
    </w:p>
    <w:p>
      <w:pPr>
        <w:ind w:firstLine="974"/>
        <w:spacing w:after="0" w:line="235" w:lineRule="auto"/>
        <w:tabs>
          <w:tab w:leader="none" w:pos="1401"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Right to Request Shelf Take-Down</w:t>
      </w:r>
      <w:r>
        <w:rPr>
          <w:rFonts w:ascii="Arial" w:cs="Arial" w:eastAsia="Arial" w:hAnsi="Arial"/>
          <w:sz w:val="15"/>
          <w:szCs w:val="15"/>
          <w:color w:val="auto"/>
        </w:rPr>
        <w:t>. At any time and from time to time during the Shelf Period after the expiration of the Lock-Up Period, the Holders of a majority of the outstanding Registrable Securities may, by written notice to the Company, request an offering of all or part of the Registrable Securities held by them (a “</w:t>
      </w:r>
      <w:r>
        <w:rPr>
          <w:rFonts w:ascii="Arial" w:cs="Arial" w:eastAsia="Arial" w:hAnsi="Arial"/>
          <w:sz w:val="15"/>
          <w:szCs w:val="15"/>
          <w:u w:val="single" w:color="auto"/>
          <w:color w:val="auto"/>
        </w:rPr>
        <w:t>Shelf Take-Down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expected aggregate gross proceeds for any Shelf Take-Down are at least fifty million dollars ($50,000,000);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Company shall not be obligated to effect any Shelf Take-Down if (i) the Company (A) has determined to effect a registered underwritten offering of its equity securities for its own account that would be a Piggyback Registration and (B) at the time of receipt of such notice has already taken substantial steps, and has proceeded and will continue to proceed with reasonable diligence, to effect such offering or (ii) such Shelf Take-Down will involve Substantial Marketing Efforts. Notwithstanding the foregoing sentence, the Company shall not be obligated to effect any subsequent Shelf Take-Down during any period following the pricing date of a completed Shelf Take-Down in which the Company is subject to a lock-up restriction pursuant to any lock-up agreements entered into in connection with such completed Shelf Take-Down.</w:t>
      </w:r>
    </w:p>
    <w:p>
      <w:pPr>
        <w:spacing w:after="0" w:line="141" w:lineRule="exact"/>
        <w:rPr>
          <w:rFonts w:ascii="Arial" w:cs="Arial" w:eastAsia="Arial" w:hAnsi="Arial"/>
          <w:sz w:val="15"/>
          <w:szCs w:val="15"/>
          <w:color w:val="auto"/>
        </w:rPr>
      </w:pPr>
    </w:p>
    <w:p>
      <w:pPr>
        <w:ind w:firstLine="974"/>
        <w:spacing w:after="0" w:line="254" w:lineRule="auto"/>
        <w:tabs>
          <w:tab w:leader="none" w:pos="1402"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Demand Registration Statement If Shelf Registration Statement Unavailable</w:t>
      </w:r>
      <w:r>
        <w:rPr>
          <w:rFonts w:ascii="Arial" w:cs="Arial" w:eastAsia="Arial" w:hAnsi="Arial"/>
          <w:sz w:val="14"/>
          <w:szCs w:val="14"/>
          <w:color w:val="auto"/>
        </w:rPr>
        <w:t>. If the Company is ineligible to file with the SEC a shelf registration statement on Form S-3 (or successor form) in accordance with Section 2(a), upon written request of the Holders of a majority of the outstanding Registrable Securities , the Company shall use its commercially reasonable efforts to file promptly a registration statement on Form S-1 (or successor form) (a “</w:t>
      </w:r>
      <w:r>
        <w:rPr>
          <w:rFonts w:ascii="Arial" w:cs="Arial" w:eastAsia="Arial" w:hAnsi="Arial"/>
          <w:sz w:val="14"/>
          <w:szCs w:val="14"/>
          <w:u w:val="single" w:color="auto"/>
          <w:color w:val="auto"/>
        </w:rPr>
        <w:t>Demand Registration Statement</w:t>
      </w:r>
      <w:r>
        <w:rPr>
          <w:rFonts w:ascii="Arial" w:cs="Arial" w:eastAsia="Arial" w:hAnsi="Arial"/>
          <w:sz w:val="14"/>
          <w:szCs w:val="14"/>
          <w:color w:val="auto"/>
        </w:rPr>
        <w:t>”) registering for resale such number of Registrable Securities requested to be included in the Demand Registration Statement and have the Demand Registration Statement declared effective under the Securities Act as promptly as practicable. Each request for a Demand Registration shall specify number of Registrable Securities to be registered and the intended methods of disposition thereof. After any Demand Registration Statement has become effective, the Company shall use its commercially reasonable efforts to keep such Demand Registration Statement effective until all of the Registrable Securities covered by such Demand Registration Statement have been sold in accordance with the plan of distribution set forth therein or are no longer outstanding.</w:t>
      </w:r>
    </w:p>
    <w:p>
      <w:pPr>
        <w:spacing w:after="0" w:line="134" w:lineRule="exact"/>
        <w:rPr>
          <w:rFonts w:ascii="Arial" w:cs="Arial" w:eastAsia="Arial" w:hAnsi="Arial"/>
          <w:sz w:val="14"/>
          <w:szCs w:val="14"/>
          <w:color w:val="auto"/>
        </w:rPr>
      </w:pPr>
    </w:p>
    <w:p>
      <w:pPr>
        <w:ind w:right="200" w:firstLine="974"/>
        <w:spacing w:after="0" w:line="278" w:lineRule="auto"/>
        <w:tabs>
          <w:tab w:leader="none" w:pos="1401"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Limitations on Demand Registrations</w:t>
      </w:r>
      <w:r>
        <w:rPr>
          <w:rFonts w:ascii="Arial" w:cs="Arial" w:eastAsia="Arial" w:hAnsi="Arial"/>
          <w:sz w:val="15"/>
          <w:szCs w:val="15"/>
          <w:color w:val="auto"/>
        </w:rPr>
        <w:t>. The Holders shall be entitled to request a maximum of one (1) Demand Registration in any 365-day period. A registration shall not count as a Demand Registration until the related Demand Registration Statement has been declared effective by the SEC.</w:t>
      </w:r>
    </w:p>
    <w:p>
      <w:pPr>
        <w:spacing w:after="0" w:line="123" w:lineRule="exact"/>
        <w:rPr>
          <w:rFonts w:ascii="Arial" w:cs="Arial" w:eastAsia="Arial" w:hAnsi="Arial"/>
          <w:sz w:val="15"/>
          <w:szCs w:val="15"/>
          <w:color w:val="auto"/>
        </w:rPr>
      </w:pPr>
    </w:p>
    <w:p>
      <w:pPr>
        <w:ind w:right="420" w:firstLine="974"/>
        <w:spacing w:after="0" w:line="233" w:lineRule="auto"/>
        <w:tabs>
          <w:tab w:leader="none" w:pos="1402"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Piggyback Registration</w:t>
      </w:r>
      <w:r>
        <w:rPr>
          <w:rFonts w:ascii="Arial" w:cs="Arial" w:eastAsia="Arial" w:hAnsi="Arial"/>
          <w:sz w:val="16"/>
          <w:szCs w:val="16"/>
          <w:color w:val="auto"/>
        </w:rPr>
        <w:t>. If, at any time following the expiration of the Lock-Up Period, the Company proposes or is required to file a Registration Statement under the Securities Act with respect to an offering of Common Stock, whether or not for sale for its own account, on a form and in a manner that would permit registration of the Registrable Securities,</w:t>
      </w:r>
    </w:p>
    <w:p>
      <w:pPr>
        <w:sectPr>
          <w:pgSz w:w="11900" w:h="16838" w:orient="portrait"/>
          <w:cols w:equalWidth="0" w:num="1">
            <w:col w:w="10700"/>
          </w:cols>
          <w:pgMar w:left="380" w:top="1282" w:right="819" w:bottom="1440" w:gutter="0" w:footer="0" w:header="0"/>
        </w:sectPr>
      </w:pPr>
    </w:p>
    <w:bookmarkStart w:id="283" w:name="page284"/>
    <w:bookmarkEnd w:id="283"/>
    <w:p>
      <w:pPr>
        <w:ind w:left="10"/>
        <w:spacing w:after="0"/>
        <w:rPr>
          <w:sz w:val="20"/>
          <w:szCs w:val="20"/>
          <w:color w:val="auto"/>
        </w:rPr>
      </w:pPr>
      <w:r>
        <w:rPr>
          <w:rFonts w:ascii="Arial" w:cs="Arial" w:eastAsia="Arial" w:hAnsi="Arial"/>
          <w:sz w:val="15"/>
          <w:szCs w:val="15"/>
          <w:color w:val="auto"/>
        </w:rPr>
        <w:t>which, for the avoidance of doubt, shall exclude any Special Registration, the Company shall give written notice as promptly as practicable, but not later than five</w:t>
      </w:r>
    </w:p>
    <w:p>
      <w:pPr>
        <w:spacing w:after="0" w:line="6" w:lineRule="exact"/>
        <w:rPr>
          <w:sz w:val="20"/>
          <w:szCs w:val="20"/>
          <w:color w:val="auto"/>
        </w:rPr>
      </w:pPr>
    </w:p>
    <w:p>
      <w:pPr>
        <w:ind w:left="10" w:hanging="10"/>
        <w:spacing w:after="0" w:line="252" w:lineRule="auto"/>
        <w:tabs>
          <w:tab w:leader="none" w:pos="24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Business Days prior to the anticipated date of filing of such Registration Statement, to the Holders of its intention to effect such registration and, in the case of each Holder, shall include in such registration all of such Holder’s Registrable Securities with respect to which the Company has received a written request from such Holder for inclusion therein within two (2) Business Days of delivery of such written notice (a “</w:t>
      </w:r>
      <w:r>
        <w:rPr>
          <w:rFonts w:ascii="Arial" w:cs="Arial" w:eastAsia="Arial" w:hAnsi="Arial"/>
          <w:sz w:val="14"/>
          <w:szCs w:val="14"/>
          <w:u w:val="single" w:color="auto"/>
          <w:color w:val="auto"/>
        </w:rPr>
        <w:t>Piggyback Registration</w:t>
      </w:r>
      <w:r>
        <w:rPr>
          <w:rFonts w:ascii="Arial" w:cs="Arial" w:eastAsia="Arial" w:hAnsi="Arial"/>
          <w:sz w:val="14"/>
          <w:szCs w:val="14"/>
          <w:color w:val="auto"/>
        </w:rPr>
        <w:t>”). In the event that a Holder makes such written request, such Holder may withdraw its Registrable Securities from such Piggyback Registration by giving written notice to the Company and the managing underwriter(s), if any, at any time at least four (4) Business Days prior to the effective date of the Registration Statement relating to such Piggyback Registration. The Company may terminate or withdraw any Piggyback Registration under this Section 2(e), whether or not any Holder has elected to include Registrable Securities in such registration. No Piggyback Registration shall count as a Demand Registration or Shelf Take-Down to which the Holders are entitled.</w:t>
      </w:r>
    </w:p>
    <w:p>
      <w:pPr>
        <w:spacing w:after="0" w:line="136" w:lineRule="exact"/>
        <w:rPr>
          <w:rFonts w:ascii="Arial" w:cs="Arial" w:eastAsia="Arial" w:hAnsi="Arial"/>
          <w:sz w:val="14"/>
          <w:szCs w:val="14"/>
          <w:color w:val="auto"/>
        </w:rPr>
      </w:pPr>
    </w:p>
    <w:p>
      <w:pPr>
        <w:ind w:left="10" w:right="180" w:firstLine="974"/>
        <w:spacing w:after="0" w:line="238" w:lineRule="auto"/>
        <w:tabs>
          <w:tab w:leader="none" w:pos="1414" w:val="left"/>
        </w:tabs>
        <w:numPr>
          <w:ilvl w:val="1"/>
          <w:numId w:val="182"/>
        </w:numPr>
        <w:rPr>
          <w:rFonts w:ascii="Arial" w:cs="Arial" w:eastAsia="Arial" w:hAnsi="Arial"/>
          <w:sz w:val="15"/>
          <w:szCs w:val="15"/>
          <w:color w:val="auto"/>
        </w:rPr>
      </w:pPr>
      <w:r>
        <w:rPr>
          <w:rFonts w:ascii="Arial" w:cs="Arial" w:eastAsia="Arial" w:hAnsi="Arial"/>
          <w:sz w:val="15"/>
          <w:szCs w:val="15"/>
          <w:u w:val="single" w:color="auto"/>
          <w:color w:val="auto"/>
        </w:rPr>
        <w:t>Selection of Underwriters; Right to Participate</w:t>
      </w:r>
      <w:r>
        <w:rPr>
          <w:rFonts w:ascii="Arial" w:cs="Arial" w:eastAsia="Arial" w:hAnsi="Arial"/>
          <w:sz w:val="15"/>
          <w:szCs w:val="15"/>
          <w:color w:val="auto"/>
        </w:rPr>
        <w:t>. The Company shall have the right to select the managing underwriters to administer an offering pursuant to a Demand Registration Statement or Shelf Take-Down. A Holder may participate in a registration or offering hereunder only if such Holder</w:t>
      </w:r>
    </w:p>
    <w:p>
      <w:pPr>
        <w:ind w:left="10" w:right="80"/>
        <w:spacing w:after="0" w:line="243" w:lineRule="auto"/>
        <w:rPr>
          <w:rFonts w:ascii="Arial" w:cs="Arial" w:eastAsia="Arial" w:hAnsi="Arial"/>
          <w:sz w:val="15"/>
          <w:szCs w:val="15"/>
          <w:color w:val="auto"/>
        </w:rPr>
      </w:pPr>
      <w:r>
        <w:rPr>
          <w:rFonts w:ascii="Arial" w:cs="Arial" w:eastAsia="Arial" w:hAnsi="Arial"/>
          <w:sz w:val="15"/>
          <w:szCs w:val="15"/>
          <w:color w:val="auto"/>
        </w:rPr>
        <w:t>(i) agrees to sell such Registrable Securities on the basis provided in any underwriting agreement with the underwriters and (ii) completes and executes all questionnaires, powers of attorney, indemnities, underwriting agreements, lock-up agreements and other documents reasonably requested under the terms of such underwriting arrangements customary for selling stockholders to enter into in secondary underwritten public offerings.</w:t>
      </w:r>
    </w:p>
    <w:p>
      <w:pPr>
        <w:spacing w:after="0" w:line="200" w:lineRule="exact"/>
        <w:rPr>
          <w:rFonts w:ascii="Arial" w:cs="Arial" w:eastAsia="Arial" w:hAnsi="Arial"/>
          <w:sz w:val="15"/>
          <w:szCs w:val="15"/>
          <w:color w:val="auto"/>
        </w:rPr>
      </w:pPr>
    </w:p>
    <w:p>
      <w:pPr>
        <w:ind w:left="10" w:right="80" w:firstLine="974"/>
        <w:spacing w:after="0" w:line="237" w:lineRule="auto"/>
        <w:tabs>
          <w:tab w:leader="none" w:pos="1411" w:val="left"/>
        </w:tabs>
        <w:numPr>
          <w:ilvl w:val="1"/>
          <w:numId w:val="182"/>
        </w:numPr>
        <w:rPr>
          <w:rFonts w:ascii="Arial" w:cs="Arial" w:eastAsia="Arial" w:hAnsi="Arial"/>
          <w:sz w:val="15"/>
          <w:szCs w:val="15"/>
          <w:color w:val="auto"/>
        </w:rPr>
      </w:pPr>
      <w:r>
        <w:rPr>
          <w:rFonts w:ascii="Arial" w:cs="Arial" w:eastAsia="Arial" w:hAnsi="Arial"/>
          <w:sz w:val="15"/>
          <w:szCs w:val="15"/>
          <w:u w:val="single" w:color="auto"/>
          <w:color w:val="auto"/>
        </w:rPr>
        <w:t>Priority of Securities Offered Pursuant to Demand Registrations and Shelf Take-Downs</w:t>
      </w:r>
      <w:r>
        <w:rPr>
          <w:rFonts w:ascii="Arial" w:cs="Arial" w:eastAsia="Arial" w:hAnsi="Arial"/>
          <w:sz w:val="15"/>
          <w:szCs w:val="15"/>
          <w:color w:val="auto"/>
        </w:rPr>
        <w:t>. If the managing underwriter of a Demand Registration or Shelf Take-Down shall advise the Company that in its reasonable opinion the number of Registrable Securities requested to be included in such Demand Registration or Shelf Take-Down exceeds the number that can be sold in such offering without having an adverse effect on such offering, including the price at which such Shares can be sold, then the Company shall include in such Demand Registration or Shelf Take-Down the maximum number of Registrable Securities that such underwriter or agent, as applicable, advises can be so sold without having such adverse effect, allocated (i) first, to Registrable Securities requested by the Holders to be included in such Demand Registration or Shelf Take-Down allocated among such requesting Holders on a pro rata basis or in such other manner as they may agree and (ii) second, to Shares requested to be included by the Company.</w:t>
      </w:r>
    </w:p>
    <w:p>
      <w:pPr>
        <w:spacing w:after="0" w:line="151" w:lineRule="exact"/>
        <w:rPr>
          <w:rFonts w:ascii="Arial" w:cs="Arial" w:eastAsia="Arial" w:hAnsi="Arial"/>
          <w:sz w:val="15"/>
          <w:szCs w:val="15"/>
          <w:color w:val="auto"/>
        </w:rPr>
      </w:pPr>
    </w:p>
    <w:p>
      <w:pPr>
        <w:ind w:left="1470" w:hanging="486"/>
        <w:spacing w:after="0"/>
        <w:tabs>
          <w:tab w:leader="none" w:pos="1470"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Postponement; Suspensions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490" w:right="60" w:firstLine="988"/>
        <w:spacing w:after="0" w:line="225" w:lineRule="auto"/>
        <w:tabs>
          <w:tab w:leader="none" w:pos="1896" w:val="left"/>
        </w:tabs>
        <w:numPr>
          <w:ilvl w:val="2"/>
          <w:numId w:val="182"/>
        </w:numPr>
        <w:rPr>
          <w:rFonts w:ascii="Arial" w:cs="Arial" w:eastAsia="Arial" w:hAnsi="Arial"/>
          <w:sz w:val="16"/>
          <w:szCs w:val="16"/>
          <w:color w:val="auto"/>
        </w:rPr>
      </w:pPr>
      <w:r>
        <w:rPr>
          <w:rFonts w:ascii="Arial" w:cs="Arial" w:eastAsia="Arial" w:hAnsi="Arial"/>
          <w:sz w:val="16"/>
          <w:szCs w:val="16"/>
          <w:color w:val="auto"/>
        </w:rPr>
        <w:t>The Company may postpone any filing or effectiveness of a Registration Statement or commencement of a Shelf Take-Down (or suspend the continued use of an effective Shelf Registration Statement) (each, a “</w:t>
      </w:r>
      <w:r>
        <w:rPr>
          <w:rFonts w:ascii="Arial" w:cs="Arial" w:eastAsia="Arial" w:hAnsi="Arial"/>
          <w:sz w:val="16"/>
          <w:szCs w:val="16"/>
          <w:u w:val="single" w:color="auto"/>
          <w:color w:val="auto"/>
        </w:rPr>
        <w:t>Suspension</w:t>
      </w:r>
      <w:r>
        <w:rPr>
          <w:rFonts w:ascii="Arial" w:cs="Arial" w:eastAsia="Arial" w:hAnsi="Arial"/>
          <w:sz w:val="16"/>
          <w:szCs w:val="16"/>
          <w:color w:val="auto"/>
        </w:rPr>
        <w:t>”) (i) during the pendency of a stop order issued by the SEC suspending the use of such Registration Statement or (ii) if the Company delivers to the Holders participating in such registration an officers’ certificate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executed by the Company’s principal executive officer and principal financial officer stating that the Board has in good faith determined such postponement or suspension is necessary in order to avoid</w:t>
      </w:r>
    </w:p>
    <w:p>
      <w:pPr>
        <w:sectPr>
          <w:pgSz w:w="11900" w:h="16838" w:orient="portrait"/>
          <w:cols w:equalWidth="0" w:num="1">
            <w:col w:w="10690"/>
          </w:cols>
          <w:pgMar w:left="370" w:top="1282" w:right="839" w:bottom="1440" w:gutter="0" w:footer="0" w:header="0"/>
        </w:sectPr>
      </w:pPr>
    </w:p>
    <w:bookmarkStart w:id="284" w:name="page285"/>
    <w:bookmarkEnd w:id="284"/>
    <w:p>
      <w:pPr>
        <w:jc w:val="both"/>
        <w:ind w:left="490" w:right="80"/>
        <w:spacing w:after="0" w:line="255" w:lineRule="auto"/>
        <w:rPr>
          <w:sz w:val="20"/>
          <w:szCs w:val="20"/>
          <w:color w:val="auto"/>
        </w:rPr>
      </w:pPr>
      <w:r>
        <w:rPr>
          <w:rFonts w:ascii="Arial" w:cs="Arial" w:eastAsia="Arial" w:hAnsi="Arial"/>
          <w:sz w:val="14"/>
          <w:szCs w:val="14"/>
          <w:color w:val="auto"/>
        </w:rPr>
        <w:t xml:space="preserve">premature disclosure of material nonpublic information and the Company has a bona fide business purpose for not disclosing such information publicly at such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permitted to exercise a Suspension (i) more than twice during any twelve (12)-month period,</w:t>
      </w:r>
    </w:p>
    <w:p>
      <w:pPr>
        <w:ind w:left="490" w:right="60" w:firstLine="3"/>
        <w:spacing w:after="0" w:line="232" w:lineRule="auto"/>
        <w:tabs>
          <w:tab w:leader="none" w:pos="731" w:val="left"/>
        </w:tabs>
        <w:numPr>
          <w:ilvl w:val="1"/>
          <w:numId w:val="183"/>
        </w:numPr>
        <w:rPr>
          <w:rFonts w:ascii="Arial" w:cs="Arial" w:eastAsia="Arial" w:hAnsi="Arial"/>
          <w:sz w:val="15"/>
          <w:szCs w:val="15"/>
          <w:color w:val="auto"/>
        </w:rPr>
      </w:pPr>
      <w:r>
        <w:rPr>
          <w:rFonts w:ascii="Arial" w:cs="Arial" w:eastAsia="Arial" w:hAnsi="Arial"/>
          <w:sz w:val="15"/>
          <w:szCs w:val="15"/>
          <w:color w:val="auto"/>
        </w:rPr>
        <w:t>for a period exceeding forty-five (45) days in any one occasion and (iii) unless for the full period of the Suspension, the Company does not offer or sell securities for its own account, does not permit registered sales by any holder of its securities and prohibits offers and sales by its directors and officers. Promptly following the cessation or discontinuance of the facts and circumstances forming the basis for any Suspension Notice, the Company shall use its commercially reasonable efforts to (i) amend the Registration Statement and/or amend or supplement the related prospectus included therein to the extent necessary, (ii) take all other actions reasonably necessary, to allow the commencement of the Shelf Take-Down or the use of the Shelf Registration Statement to recommence as promptly as possible, and (iii) promptly provide written notice to such Holders (or a representative of such Holders) (an “</w:t>
      </w:r>
      <w:r>
        <w:rPr>
          <w:rFonts w:ascii="Arial" w:cs="Arial" w:eastAsia="Arial" w:hAnsi="Arial"/>
          <w:sz w:val="15"/>
          <w:szCs w:val="15"/>
          <w:u w:val="single" w:color="auto"/>
          <w:color w:val="auto"/>
        </w:rPr>
        <w:t>End</w:t>
      </w:r>
      <w:r>
        <w:rPr>
          <w:rFonts w:ascii="Arial" w:cs="Arial" w:eastAsia="Arial" w:hAnsi="Arial"/>
          <w:sz w:val="15"/>
          <w:szCs w:val="15"/>
          <w:color w:val="auto"/>
        </w:rPr>
        <w:t xml:space="preserve"> </w:t>
      </w:r>
      <w:r>
        <w:rPr>
          <w:rFonts w:ascii="Arial" w:cs="Arial" w:eastAsia="Arial" w:hAnsi="Arial"/>
          <w:sz w:val="15"/>
          <w:szCs w:val="15"/>
          <w:u w:val="single" w:color="auto"/>
          <w:color w:val="auto"/>
        </w:rPr>
        <w:t>of Suspension Notice</w:t>
      </w:r>
      <w:r>
        <w:rPr>
          <w:rFonts w:ascii="Arial" w:cs="Arial" w:eastAsia="Arial" w:hAnsi="Arial"/>
          <w:sz w:val="15"/>
          <w:szCs w:val="15"/>
          <w:color w:val="auto"/>
        </w:rPr>
        <w:t>”) of the termination of any Suspension. In connection with a Demand Registration, prior to the termination of any Suspension, the Holders that made the request for Demand Registration will be entitled to withdraw such Holders’ Demand Notice. After receipt of the Suspension Notice, the Holders will suspend use of the applicable Registration Statement, prospectus or prospectus supplement in connection with any sale or purchase of, or offer to sell or purchase, such Holders’ Registrable Securities.</w:t>
      </w:r>
    </w:p>
    <w:p>
      <w:pPr>
        <w:spacing w:after="0" w:line="144" w:lineRule="exact"/>
        <w:rPr>
          <w:rFonts w:ascii="Arial" w:cs="Arial" w:eastAsia="Arial" w:hAnsi="Arial"/>
          <w:sz w:val="15"/>
          <w:szCs w:val="15"/>
          <w:color w:val="auto"/>
        </w:rPr>
      </w:pPr>
    </w:p>
    <w:p>
      <w:pPr>
        <w:jc w:val="both"/>
        <w:ind w:left="490" w:right="120" w:firstLine="988"/>
        <w:spacing w:after="0" w:line="228" w:lineRule="auto"/>
        <w:tabs>
          <w:tab w:leader="none" w:pos="1839" w:val="left"/>
        </w:tabs>
        <w:numPr>
          <w:ilvl w:val="3"/>
          <w:numId w:val="183"/>
        </w:numPr>
        <w:rPr>
          <w:rFonts w:ascii="Arial" w:cs="Arial" w:eastAsia="Arial" w:hAnsi="Arial"/>
          <w:sz w:val="16"/>
          <w:szCs w:val="16"/>
          <w:color w:val="auto"/>
        </w:rPr>
      </w:pPr>
      <w:r>
        <w:rPr>
          <w:rFonts w:ascii="Arial" w:cs="Arial" w:eastAsia="Arial" w:hAnsi="Arial"/>
          <w:sz w:val="16"/>
          <w:szCs w:val="16"/>
          <w:color w:val="auto"/>
        </w:rPr>
        <w:t>Each Holder agrees that, except as required by applicable law, it shall treat as confidential the receipt of any Suspension Notice (provided that in no event shall such notice contain any material nonpublic information of the Company) hereunder and shall not disclose or use the information contained in such Suspension Notice without the prior written consent of the Company until such time as the information contained therein is or becomes public, other than as a result of disclosure by breach of the terms of this Agreement.</w:t>
      </w:r>
    </w:p>
    <w:p>
      <w:pPr>
        <w:spacing w:after="0" w:line="142" w:lineRule="exact"/>
        <w:rPr>
          <w:rFonts w:ascii="Arial" w:cs="Arial" w:eastAsia="Arial" w:hAnsi="Arial"/>
          <w:sz w:val="16"/>
          <w:szCs w:val="16"/>
          <w:color w:val="auto"/>
        </w:rPr>
      </w:pPr>
    </w:p>
    <w:p>
      <w:pPr>
        <w:ind w:left="10" w:firstLine="974"/>
        <w:spacing w:after="0" w:line="248" w:lineRule="auto"/>
        <w:tabs>
          <w:tab w:leader="none" w:pos="1312" w:val="left"/>
        </w:tabs>
        <w:numPr>
          <w:ilvl w:val="2"/>
          <w:numId w:val="183"/>
        </w:numPr>
        <w:rPr>
          <w:rFonts w:ascii="Arial" w:cs="Arial" w:eastAsia="Arial" w:hAnsi="Arial"/>
          <w:sz w:val="14"/>
          <w:szCs w:val="14"/>
          <w:color w:val="auto"/>
        </w:rPr>
      </w:pPr>
      <w:r>
        <w:rPr>
          <w:rFonts w:ascii="Arial" w:cs="Arial" w:eastAsia="Arial" w:hAnsi="Arial"/>
          <w:sz w:val="14"/>
          <w:szCs w:val="14"/>
          <w:u w:val="single" w:color="auto"/>
          <w:color w:val="auto"/>
        </w:rPr>
        <w:t>Holdback; Lock-Up Agreements</w:t>
      </w:r>
      <w:r>
        <w:rPr>
          <w:rFonts w:ascii="Arial" w:cs="Arial" w:eastAsia="Arial" w:hAnsi="Arial"/>
          <w:sz w:val="14"/>
          <w:szCs w:val="14"/>
          <w:color w:val="auto"/>
        </w:rPr>
        <w:t xml:space="preserve">. Each of the Company and the Holders agrees, upon notice from the managing underwriters in connection with any registration for an underwritten offering of the Company’s securities (other than a Special Registration), not to effect (other than pursuant to such registration) any public sale or distribution of Registrable Securities, including, but not limited to, any sale pursuant to Rule 144, or make any short sale of, loan, grant any option for the purchase of, or otherwise dispose of, any Registrable Securities, any other equity securities of the Company or any securities convertible into or exchangeable or exercisable for any equity securities of the Company without the prior written consent of the managing underwriters for a period of up to ninety (90) days (or such shorter period as may be agreed to by the managing underwriter(s));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restrictions shall not apply in any circumstance to</w:t>
      </w:r>
    </w:p>
    <w:p>
      <w:pPr>
        <w:jc w:val="both"/>
        <w:ind w:left="10" w:right="60" w:hanging="10"/>
        <w:spacing w:after="0" w:line="238" w:lineRule="auto"/>
        <w:tabs>
          <w:tab w:leader="none" w:pos="206" w:val="left"/>
        </w:tabs>
        <w:numPr>
          <w:ilvl w:val="0"/>
          <w:numId w:val="184"/>
        </w:numPr>
        <w:rPr>
          <w:rFonts w:ascii="Arial" w:cs="Arial" w:eastAsia="Arial" w:hAnsi="Arial"/>
          <w:sz w:val="15"/>
          <w:szCs w:val="15"/>
          <w:color w:val="auto"/>
        </w:rPr>
      </w:pPr>
      <w:r>
        <w:rPr>
          <w:rFonts w:ascii="Arial" w:cs="Arial" w:eastAsia="Arial" w:hAnsi="Arial"/>
          <w:sz w:val="15"/>
          <w:szCs w:val="15"/>
          <w:color w:val="auto"/>
        </w:rPr>
        <w:t>securities acquired by a Holder in the public market subsequent to the completion of the IPO or (ii) distributions-in-kind to a Holder’s limited or other partners, members, shareholders or other equity holders. Notwithstanding the foregoing, no holdback agreements of the type contemplated by this Section shall be required of Holders (A) unless each of the Company’s directors and executive officers agrees to be bound by a substantially identical holdback agreement for at least the same period of time; or (B) that restricts the offering or sale of Registrable Securities pursuant to a Demand Registration.</w:t>
      </w:r>
    </w:p>
    <w:p>
      <w:pPr>
        <w:sectPr>
          <w:pgSz w:w="11900" w:h="16838" w:orient="portrait"/>
          <w:cols w:equalWidth="0" w:num="1">
            <w:col w:w="10710"/>
          </w:cols>
          <w:pgMar w:left="370" w:top="1282" w:right="819" w:bottom="1440" w:gutter="0" w:footer="0" w:header="0"/>
        </w:sectPr>
      </w:pPr>
    </w:p>
    <w:bookmarkStart w:id="285" w:name="page286"/>
    <w:bookmarkEnd w:id="285"/>
    <w:p>
      <w:pPr>
        <w:spacing w:after="0"/>
        <w:tabs>
          <w:tab w:leader="none" w:pos="80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Registration Procedures</w:t>
      </w:r>
      <w:r>
        <w:rPr>
          <w:rFonts w:ascii="Arial" w:cs="Arial" w:eastAsia="Arial" w:hAnsi="Arial"/>
          <w:sz w:val="14"/>
          <w:szCs w:val="14"/>
          <w:color w:val="auto"/>
        </w:rPr>
        <w:t>.</w:t>
      </w:r>
    </w:p>
    <w:p>
      <w:pPr>
        <w:spacing w:after="0" w:line="165" w:lineRule="exact"/>
        <w:rPr>
          <w:sz w:val="20"/>
          <w:szCs w:val="20"/>
          <w:color w:val="auto"/>
        </w:rPr>
      </w:pPr>
    </w:p>
    <w:p>
      <w:pPr>
        <w:ind w:left="-480" w:right="60" w:firstLine="974"/>
        <w:spacing w:after="0" w:line="233" w:lineRule="auto"/>
        <w:tabs>
          <w:tab w:leader="none" w:pos="92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and whenever the Company is required to effect the registration of any Registrable Securities pursuant to this Agreement, the Company shall use its reasonable best efforts to effect and facilitate the registration, offering and sale of such Registrable Securities in accordance with the intended method of disposition thereof as promptly as is practicable, and the Company shall as expeditiously as possible:</w:t>
      </w:r>
    </w:p>
    <w:p>
      <w:pPr>
        <w:spacing w:after="0" w:line="151" w:lineRule="exact"/>
        <w:rPr>
          <w:rFonts w:ascii="Arial" w:cs="Arial" w:eastAsia="Arial" w:hAnsi="Arial"/>
          <w:sz w:val="16"/>
          <w:szCs w:val="16"/>
          <w:color w:val="auto"/>
        </w:rPr>
      </w:pPr>
    </w:p>
    <w:p>
      <w:pPr>
        <w:ind w:firstLine="988"/>
        <w:spacing w:after="0" w:line="233" w:lineRule="auto"/>
        <w:tabs>
          <w:tab w:leader="none" w:pos="1406" w:val="left"/>
        </w:tabs>
        <w:numPr>
          <w:ilvl w:val="1"/>
          <w:numId w:val="185"/>
        </w:numPr>
        <w:rPr>
          <w:rFonts w:ascii="Arial" w:cs="Arial" w:eastAsia="Arial" w:hAnsi="Arial"/>
          <w:sz w:val="15"/>
          <w:szCs w:val="15"/>
          <w:color w:val="auto"/>
        </w:rPr>
      </w:pPr>
      <w:r>
        <w:rPr>
          <w:rFonts w:ascii="Arial" w:cs="Arial" w:eastAsia="Arial" w:hAnsi="Arial"/>
          <w:sz w:val="15"/>
          <w:szCs w:val="15"/>
          <w:color w:val="auto"/>
        </w:rPr>
        <w:t>prepare and file with the SEC (within thirty (30) days after the date on which the Company has given Holders notice of any request for Demand Registration) a Registration Statement with respect to such Registrable Securities, make all required filings required (including Financial Industry Regulatory Authority filings) in connection therewith and thereafter and (if the Registration Statement is not automatically effective upon filing) use its reasonable best efforts to cause such Registration Statement to become effective; provided that, before filing a Registration Statement or any amendments or supplements thereto (including free writing prospectuses under Rule 433), the Company will furnish to Holders for such registration copies of all such documents proposed to be filed (including exhibits thereto), which documents will be subject to review of such counsel, and such other documents reasonably requested by such counsel, including any comment letter from the SEC, and give the Holders participating in such registration an opportunity to comment on such documents and keep such Holders reasonably informed as to the registration process; provided, further, that if registration at the time would require the inclusion of pro forma financial or acquired business historical financial information, which requirement the Board determines the Company is reasonably unable to comply with, then the Company may defer the filing of the Registration Statement that is required to effect the applicable registration for a reasonable period of time to compile such information;</w:t>
      </w:r>
    </w:p>
    <w:p>
      <w:pPr>
        <w:spacing w:after="0" w:line="148" w:lineRule="exact"/>
        <w:rPr>
          <w:rFonts w:ascii="Arial" w:cs="Arial" w:eastAsia="Arial" w:hAnsi="Arial"/>
          <w:sz w:val="15"/>
          <w:szCs w:val="15"/>
          <w:color w:val="auto"/>
        </w:rPr>
      </w:pPr>
    </w:p>
    <w:p>
      <w:pPr>
        <w:ind w:right="60" w:firstLine="988"/>
        <w:spacing w:after="0" w:line="237" w:lineRule="auto"/>
        <w:tabs>
          <w:tab w:leader="none" w:pos="1401" w:val="left"/>
        </w:tabs>
        <w:numPr>
          <w:ilvl w:val="1"/>
          <w:numId w:val="185"/>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any Registration Statement as may be necessary to keep such Registration Statement effective for a period of either (A) not less than ninety (90) days or, if such Registration Statement relates to an Underwritten Offering in the case of a Demand Registration, such longer period as in the opinion of counsel for the managing underwriters a prospectus is required by law to be delivered in connection with sales of Registrable Securities by an underwriter or dealer or the maximum period of time permitted by the Securities Act in the case of a Shelf Registration Statement, or (B) such shorter period ending when all of the Registrable Securities covered by such Registration Statement have been disposed of (but in any event not before the expiration of any longer period required under the Securities Act) and (ii) to comply with the provisions of the Securities Act with respect to the disposition of all Registrable Securities covered by such Registration Statement;</w:t>
      </w:r>
    </w:p>
    <w:p>
      <w:pPr>
        <w:spacing w:after="0" w:line="141" w:lineRule="exact"/>
        <w:rPr>
          <w:rFonts w:ascii="Arial" w:cs="Arial" w:eastAsia="Arial" w:hAnsi="Arial"/>
          <w:sz w:val="15"/>
          <w:szCs w:val="15"/>
          <w:color w:val="auto"/>
        </w:rPr>
      </w:pPr>
    </w:p>
    <w:p>
      <w:pPr>
        <w:ind w:firstLine="988"/>
        <w:spacing w:after="0" w:line="228" w:lineRule="auto"/>
        <w:tabs>
          <w:tab w:leader="none" w:pos="1405" w:val="left"/>
        </w:tabs>
        <w:numPr>
          <w:ilvl w:val="1"/>
          <w:numId w:val="185"/>
        </w:numPr>
        <w:rPr>
          <w:rFonts w:ascii="Arial" w:cs="Arial" w:eastAsia="Arial" w:hAnsi="Arial"/>
          <w:sz w:val="16"/>
          <w:szCs w:val="16"/>
          <w:color w:val="auto"/>
        </w:rPr>
      </w:pPr>
      <w:r>
        <w:rPr>
          <w:rFonts w:ascii="Arial" w:cs="Arial" w:eastAsia="Arial" w:hAnsi="Arial"/>
          <w:sz w:val="16"/>
          <w:szCs w:val="16"/>
          <w:color w:val="auto"/>
        </w:rPr>
        <w:t>furnish to each Selling Holder and the underwriters such number of copies, without charge, of any Registration Statement, each amendment and supplement thereto, including each preliminary prospectus, final prospectus, all exhibits and other documents filed therewith and such other documents as such persons may reasonably request from time to time in order to facilitate the disposition of the Registrable Securities owned by such Selling Holder; provided that, before amending or supplementing any</w:t>
      </w:r>
    </w:p>
    <w:p>
      <w:pPr>
        <w:sectPr>
          <w:pgSz w:w="11900" w:h="16838" w:orient="portrait"/>
          <w:cols w:equalWidth="0" w:num="1">
            <w:col w:w="10200"/>
          </w:cols>
          <w:pgMar w:left="860" w:top="1282" w:right="839" w:bottom="1440" w:gutter="0" w:footer="0" w:header="0"/>
        </w:sectPr>
      </w:pPr>
    </w:p>
    <w:bookmarkStart w:id="286" w:name="page287"/>
    <w:bookmarkEnd w:id="286"/>
    <w:p>
      <w:pPr>
        <w:ind w:right="360"/>
        <w:spacing w:after="0" w:line="244" w:lineRule="auto"/>
        <w:rPr>
          <w:sz w:val="20"/>
          <w:szCs w:val="20"/>
          <w:color w:val="auto"/>
        </w:rPr>
      </w:pPr>
      <w:r>
        <w:rPr>
          <w:rFonts w:ascii="Arial" w:cs="Arial" w:eastAsia="Arial" w:hAnsi="Arial"/>
          <w:sz w:val="15"/>
          <w:szCs w:val="15"/>
          <w:color w:val="auto"/>
        </w:rPr>
        <w:t>Registration Statement, the Company shall furnish to the Holders a copy of each such proposed amendment or supplement and not file any such proposed amendment or supplement to which any Selling Holder reasonably objects. The Company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40" w:lineRule="exact"/>
        <w:rPr>
          <w:sz w:val="20"/>
          <w:szCs w:val="20"/>
          <w:color w:val="auto"/>
        </w:rPr>
      </w:pPr>
    </w:p>
    <w:p>
      <w:pPr>
        <w:ind w:right="60" w:firstLine="988"/>
        <w:spacing w:after="0" w:line="236" w:lineRule="auto"/>
        <w:tabs>
          <w:tab w:leader="none" w:pos="1406" w:val="left"/>
        </w:tabs>
        <w:numPr>
          <w:ilvl w:val="0"/>
          <w:numId w:val="186"/>
        </w:numPr>
        <w:rPr>
          <w:rFonts w:ascii="Arial" w:cs="Arial" w:eastAsia="Arial" w:hAnsi="Arial"/>
          <w:sz w:val="15"/>
          <w:szCs w:val="15"/>
          <w:color w:val="auto"/>
        </w:rPr>
      </w:pPr>
      <w:r>
        <w:rPr>
          <w:rFonts w:ascii="Arial" w:cs="Arial" w:eastAsia="Arial" w:hAnsi="Arial"/>
          <w:sz w:val="15"/>
          <w:szCs w:val="15"/>
          <w:color w:val="auto"/>
        </w:rPr>
        <w:t>use its reasonable best efforts to register or qualify any Registrable Securities under such other securities or blue sky laws of such jurisdictions as any Selling Holder, and the managing underwriters, if any reasonably request, use its reasonable best efforts to keep each such registration or qualification (or exemption therefrom) effective during the period such Registration Statement is required to be kept effective and do any and all other acts and things that may be necessary or reasonably advisable to enable such Selling Holder and each underwriter, if any, to consummate the disposition of the seller’s Registrable Securities in such jurisdictions; provided that the Company will not be required to (i) qualify generally to do business in any such jurisdiction where it would not otherwise be required to qualify but for this subsection, (ii) subject itself to taxation in any jurisdiction where it is not then so subject or (iii) consent to general service of process in any such jurisdiction where it is not then so subject (other than service of process in connection with such registration or qualification or any sale of Registrable Securities in connection therewith);</w:t>
      </w:r>
    </w:p>
    <w:p>
      <w:pPr>
        <w:spacing w:after="0" w:line="140" w:lineRule="exact"/>
        <w:rPr>
          <w:rFonts w:ascii="Arial" w:cs="Arial" w:eastAsia="Arial" w:hAnsi="Arial"/>
          <w:sz w:val="15"/>
          <w:szCs w:val="15"/>
          <w:color w:val="auto"/>
        </w:rPr>
      </w:pPr>
    </w:p>
    <w:p>
      <w:pPr>
        <w:ind w:firstLine="988"/>
        <w:spacing w:after="0" w:line="238" w:lineRule="auto"/>
        <w:tabs>
          <w:tab w:leader="none" w:pos="140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during any time when a prospectus is required to be delivered under the Securities Act, promptly notify each Selling Holder upon discovery that, or upon the discovery of the happening of any event as a result of which, the prospectus contains an untrue statement of a material fact or omits any fact necessary to make the statements therein not misleading in light of the circumstances under which they were made and, as promptly as practicable, prepare and furnish to such Selling Holders a reasonable number of copies of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w:t>
      </w:r>
    </w:p>
    <w:p>
      <w:pPr>
        <w:spacing w:after="0" w:line="147" w:lineRule="exact"/>
        <w:rPr>
          <w:rFonts w:ascii="Arial" w:cs="Arial" w:eastAsia="Arial" w:hAnsi="Arial"/>
          <w:sz w:val="15"/>
          <w:szCs w:val="15"/>
          <w:color w:val="auto"/>
        </w:rPr>
      </w:pPr>
    </w:p>
    <w:p>
      <w:pPr>
        <w:ind w:left="1400" w:hanging="412"/>
        <w:spacing w:after="0"/>
        <w:tabs>
          <w:tab w:leader="none" w:pos="14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Securities not later than the effective date of such Registration</w:t>
      </w:r>
    </w:p>
    <w:p>
      <w:pPr>
        <w:spacing w:after="0"/>
        <w:rPr>
          <w:rFonts w:ascii="Arial" w:cs="Arial" w:eastAsia="Arial" w:hAnsi="Arial"/>
          <w:sz w:val="16"/>
          <w:szCs w:val="16"/>
          <w:color w:val="auto"/>
        </w:rPr>
      </w:pPr>
      <w:r>
        <w:rPr>
          <w:rFonts w:ascii="Arial" w:cs="Arial" w:eastAsia="Arial" w:hAnsi="Arial"/>
          <w:sz w:val="16"/>
          <w:szCs w:val="16"/>
          <w:color w:val="auto"/>
        </w:rPr>
        <w:t>Statement,</w:t>
      </w:r>
    </w:p>
    <w:p>
      <w:pPr>
        <w:spacing w:after="0" w:line="161" w:lineRule="exact"/>
        <w:rPr>
          <w:rFonts w:ascii="Arial" w:cs="Arial" w:eastAsia="Arial" w:hAnsi="Arial"/>
          <w:sz w:val="16"/>
          <w:szCs w:val="16"/>
          <w:color w:val="auto"/>
        </w:rPr>
      </w:pPr>
    </w:p>
    <w:p>
      <w:pPr>
        <w:ind w:right="120" w:firstLine="988"/>
        <w:spacing w:after="0" w:line="233" w:lineRule="auto"/>
        <w:tabs>
          <w:tab w:leader="none" w:pos="140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cooperate with the Holders and any managing underwriter(s) to facilitate the timely preparation and delivery of certificates representing Registrable Securities to be sold, and enable certificates for such Registrable Securities to be issued for such number of shares and registered in such names as the Holders and any managing underwriter(s) may reasonably request;</w:t>
      </w:r>
    </w:p>
    <w:p>
      <w:pPr>
        <w:spacing w:after="0" w:line="141" w:lineRule="exact"/>
        <w:rPr>
          <w:rFonts w:ascii="Arial" w:cs="Arial" w:eastAsia="Arial" w:hAnsi="Arial"/>
          <w:sz w:val="16"/>
          <w:szCs w:val="16"/>
          <w:color w:val="auto"/>
        </w:rPr>
      </w:pPr>
    </w:p>
    <w:p>
      <w:pPr>
        <w:ind w:right="160" w:firstLine="988"/>
        <w:spacing w:after="0" w:line="245" w:lineRule="auto"/>
        <w:tabs>
          <w:tab w:leader="none" w:pos="14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cause all such Registrable Securities to be listed on each securities exchange on which similar securities issued by the Company are then listed or, if no similar securities issued by the Company are then listed on any securities exchange, use</w:t>
      </w:r>
    </w:p>
    <w:p>
      <w:pPr>
        <w:sectPr>
          <w:pgSz w:w="11900" w:h="16838" w:orient="portrait"/>
          <w:cols w:equalWidth="0" w:num="1">
            <w:col w:w="10220"/>
          </w:cols>
          <w:pgMar w:left="860" w:top="1282" w:right="81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color w:val="auto"/>
        </w:rPr>
        <w:t>its reasonable best efforts to cause all such Registrable Securities to be listed on the Nasdaq Global Select Market;</w:t>
      </w:r>
    </w:p>
    <w:p>
      <w:pPr>
        <w:spacing w:after="0" w:line="165" w:lineRule="exact"/>
        <w:rPr>
          <w:sz w:val="20"/>
          <w:szCs w:val="20"/>
          <w:color w:val="auto"/>
        </w:rPr>
      </w:pPr>
    </w:p>
    <w:p>
      <w:pPr>
        <w:ind w:right="60" w:firstLine="988"/>
        <w:spacing w:after="0" w:line="248" w:lineRule="auto"/>
        <w:tabs>
          <w:tab w:leader="none" w:pos="1406" w:val="left"/>
        </w:tabs>
        <w:numPr>
          <w:ilvl w:val="1"/>
          <w:numId w:val="187"/>
        </w:numPr>
        <w:rPr>
          <w:rFonts w:ascii="Arial" w:cs="Arial" w:eastAsia="Arial" w:hAnsi="Arial"/>
          <w:sz w:val="14"/>
          <w:szCs w:val="14"/>
          <w:color w:val="auto"/>
        </w:rPr>
      </w:pPr>
      <w:r>
        <w:rPr>
          <w:rFonts w:ascii="Arial" w:cs="Arial" w:eastAsia="Arial" w:hAnsi="Arial"/>
          <w:sz w:val="14"/>
          <w:szCs w:val="14"/>
          <w:color w:val="auto"/>
        </w:rPr>
        <w:t>promptly notify each Selling Holder (i) when the Registration Statement, any prospectus supplement or any post-effective amendment to the Registration Statement has become effective (ii) of any written comments by the SEC or any request by the SEC for amendments or supplements to such Registration Statement or to amend or to supplement any prospectus contained therein or for additional information, (iii) of the issuance by the SEC of any stop order suspending the effectiveness of such Registration Statement or the initiation or threatening of any proceedings for any of such purposes, (iv) the removal of any such stop order, injunction or other order or requirement or proceeding or the lifting of any such suspension,</w:t>
      </w:r>
    </w:p>
    <w:p>
      <w:pPr>
        <w:spacing w:after="0" w:line="2" w:lineRule="exact"/>
        <w:rPr>
          <w:rFonts w:ascii="Arial" w:cs="Arial" w:eastAsia="Arial" w:hAnsi="Arial"/>
          <w:sz w:val="14"/>
          <w:szCs w:val="14"/>
          <w:color w:val="auto"/>
        </w:rPr>
      </w:pPr>
    </w:p>
    <w:p>
      <w:pPr>
        <w:ind w:right="140" w:firstLine="3"/>
        <w:spacing w:after="0" w:line="223" w:lineRule="auto"/>
        <w:tabs>
          <w:tab w:leader="none" w:pos="23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at the time the Company has reason to believe that the representations and warranties of the Company contained in any agreement (including any underwriting agreement) contemplated by Section 3(a)(xiii) below cease to be true and correct and (vi) of the receipt by the Company of any notification with respect to the suspension of the qualification or exemption from qualification of such Registrable Securities for sale in any jurisdiction, or the initiation or threatening of any proceeding for such purpose;</w:t>
      </w:r>
    </w:p>
    <w:p>
      <w:pPr>
        <w:spacing w:after="0" w:line="143" w:lineRule="exact"/>
        <w:rPr>
          <w:rFonts w:ascii="Arial" w:cs="Arial" w:eastAsia="Arial" w:hAnsi="Arial"/>
          <w:sz w:val="16"/>
          <w:szCs w:val="16"/>
          <w:color w:val="auto"/>
        </w:rPr>
      </w:pPr>
    </w:p>
    <w:p>
      <w:pPr>
        <w:ind w:firstLine="988"/>
        <w:spacing w:after="0" w:line="232" w:lineRule="auto"/>
        <w:tabs>
          <w:tab w:leader="none" w:pos="1402" w:val="left"/>
        </w:tabs>
        <w:numPr>
          <w:ilvl w:val="1"/>
          <w:numId w:val="188"/>
        </w:numPr>
        <w:rPr>
          <w:rFonts w:ascii="Arial" w:cs="Arial" w:eastAsia="Arial" w:hAnsi="Arial"/>
          <w:sz w:val="15"/>
          <w:szCs w:val="15"/>
          <w:color w:val="auto"/>
        </w:rPr>
      </w:pPr>
      <w:r>
        <w:rPr>
          <w:rFonts w:ascii="Arial" w:cs="Arial" w:eastAsia="Arial" w:hAnsi="Arial"/>
          <w:sz w:val="15"/>
          <w:szCs w:val="15"/>
          <w:color w:val="auto"/>
        </w:rPr>
        <w:t>make available for inspection by any Selling Holder, any underwriter participating in any disposition pursuant to the applicable Registration Statement and any attorney, accountant or other agent retained by any such Selling Holder or underwriter all financial and other records, pertinent corporate documents and documents relating to the business of the Company reasonably requested by such Selling Holder, cause the Company’s officers, directors, employees and independent accountants to supply all information reasonably requested by any such Selling Holder, underwriter, attorney, accountant or agent in connection with such Registration Statement and make senior management of the Company available for customary due diligence and drafting activity; provided that any such Person gaining access to information or personnel pursuant to this Section 3(a)(x) shall (i) reasonably cooperate with the Company to limit any resulting disruption to the Company’s business and (ii) agree to use reasonable efforts to protect the confidentiality of any information regarding the Company which the Company determines in good faith to be confidential, and of which determination such person is notified, unless (A) the release of such information is requested or required by deposition, interrogatory, requests for information or documents by a governmental entity, subpoena or similar process, (B) the release of such information, in the opinion of such person, is required to be released by law or applicable legal process, (C) such information is or becomes publicly known without a breach of this Agreement, (D) such information is or becomes available to such person on a non-confidential basis from a source other than the Company or (E) such information is independently developed by such person. In the case of a proposed disclosure pursuant to (A) or (B) above, such Person shall be required to give the Company written notice of the proposed disclosure prior to such disclosure and, if requested by the Company, assist the Company in seeking to prevent or limit the proposed disclosure;</w:t>
      </w:r>
    </w:p>
    <w:p>
      <w:pPr>
        <w:spacing w:after="0" w:line="145" w:lineRule="exact"/>
        <w:rPr>
          <w:rFonts w:ascii="Arial" w:cs="Arial" w:eastAsia="Arial" w:hAnsi="Arial"/>
          <w:sz w:val="15"/>
          <w:szCs w:val="15"/>
          <w:color w:val="auto"/>
        </w:rPr>
      </w:pPr>
    </w:p>
    <w:p>
      <w:pPr>
        <w:ind w:right="700" w:firstLine="988"/>
        <w:spacing w:after="0" w:line="245" w:lineRule="auto"/>
        <w:tabs>
          <w:tab w:leader="none" w:pos="140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in the case of an underwritten offering, promptly incorporate in a prospectus supplement or post-effective amendment such information as the managing</w:t>
      </w:r>
    </w:p>
    <w:p>
      <w:pPr>
        <w:sectPr>
          <w:pgSz w:w="11900" w:h="16838" w:orient="portrait"/>
          <w:cols w:equalWidth="0" w:num="1">
            <w:col w:w="10180"/>
          </w:cols>
          <w:pgMar w:left="860" w:top="1282" w:right="859" w:bottom="1440" w:gutter="0" w:footer="0" w:header="0"/>
        </w:sectPr>
      </w:pPr>
    </w:p>
    <w:bookmarkStart w:id="288" w:name="page289"/>
    <w:bookmarkEnd w:id="288"/>
    <w:p>
      <w:pPr>
        <w:ind w:right="680"/>
        <w:spacing w:after="0" w:line="233" w:lineRule="auto"/>
        <w:rPr>
          <w:sz w:val="20"/>
          <w:szCs w:val="20"/>
          <w:color w:val="auto"/>
        </w:rPr>
      </w:pPr>
      <w:r>
        <w:rPr>
          <w:rFonts w:ascii="Arial" w:cs="Arial" w:eastAsia="Arial" w:hAnsi="Arial"/>
          <w:sz w:val="16"/>
          <w:szCs w:val="16"/>
          <w:color w:val="auto"/>
        </w:rPr>
        <w:t>underwriters or any Selling Holder reasonably requests to be included therein, the purchase price being paid therefor by the underwriters and any other terms of the underwritten offering of the Registrable Securities to be sold in such offering, and promptly make all required filings of such prospectus supplement or post-effective amendment;</w:t>
      </w:r>
    </w:p>
    <w:p>
      <w:pPr>
        <w:spacing w:after="0" w:line="203" w:lineRule="exact"/>
        <w:rPr>
          <w:sz w:val="20"/>
          <w:szCs w:val="20"/>
          <w:color w:val="auto"/>
        </w:rPr>
      </w:pPr>
    </w:p>
    <w:p>
      <w:pPr>
        <w:ind w:right="120" w:firstLine="988"/>
        <w:spacing w:after="0" w:line="315" w:lineRule="auto"/>
        <w:tabs>
          <w:tab w:leader="none" w:pos="1401" w:val="left"/>
        </w:tabs>
        <w:numPr>
          <w:ilvl w:val="1"/>
          <w:numId w:val="189"/>
        </w:numPr>
        <w:rPr>
          <w:rFonts w:ascii="Arial" w:cs="Arial" w:eastAsia="Arial" w:hAnsi="Arial"/>
          <w:sz w:val="14"/>
          <w:szCs w:val="14"/>
          <w:color w:val="auto"/>
        </w:rPr>
      </w:pPr>
      <w:r>
        <w:rPr>
          <w:rFonts w:ascii="Arial" w:cs="Arial" w:eastAsia="Arial" w:hAnsi="Arial"/>
          <w:sz w:val="14"/>
          <w:szCs w:val="14"/>
          <w:color w:val="auto"/>
        </w:rPr>
        <w:t>reasonably cooperate with each seller of Registrable Securities and each underwriter or agent participating in the disposition of such Registrable Securities and their respective counsel in connection with any filings required to be made with the Financial Industry Regulatory Authority;</w:t>
      </w:r>
    </w:p>
    <w:p>
      <w:pPr>
        <w:spacing w:after="0" w:line="90" w:lineRule="exact"/>
        <w:rPr>
          <w:rFonts w:ascii="Arial" w:cs="Arial" w:eastAsia="Arial" w:hAnsi="Arial"/>
          <w:sz w:val="14"/>
          <w:szCs w:val="14"/>
          <w:color w:val="auto"/>
        </w:rPr>
      </w:pPr>
    </w:p>
    <w:p>
      <w:pPr>
        <w:ind w:right="160" w:firstLine="988"/>
        <w:spacing w:after="0" w:line="233" w:lineRule="auto"/>
        <w:tabs>
          <w:tab w:leader="none" w:pos="140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in the case of an underwritten offering, enter into such customary agreements (including underwriting agreements with customary provisions in such forms as may be requested by the managing underwriters) and take all such other actions as the Selling Holders or the underwriters, if any, reasonably request in order to expedite or facilitate the disposition of such Registrable Securities;</w:t>
      </w:r>
    </w:p>
    <w:p>
      <w:pPr>
        <w:spacing w:after="0" w:line="151" w:lineRule="exact"/>
        <w:rPr>
          <w:rFonts w:ascii="Arial" w:cs="Arial" w:eastAsia="Arial" w:hAnsi="Arial"/>
          <w:sz w:val="16"/>
          <w:szCs w:val="16"/>
          <w:color w:val="auto"/>
        </w:rPr>
      </w:pPr>
    </w:p>
    <w:p>
      <w:pPr>
        <w:ind w:firstLine="988"/>
        <w:spacing w:after="0" w:line="258" w:lineRule="auto"/>
        <w:tabs>
          <w:tab w:leader="none" w:pos="1406" w:val="left"/>
        </w:tabs>
        <w:numPr>
          <w:ilvl w:val="1"/>
          <w:numId w:val="189"/>
        </w:numPr>
        <w:rPr>
          <w:rFonts w:ascii="Arial" w:cs="Arial" w:eastAsia="Arial" w:hAnsi="Arial"/>
          <w:sz w:val="14"/>
          <w:szCs w:val="14"/>
          <w:color w:val="auto"/>
        </w:rPr>
      </w:pPr>
      <w:r>
        <w:rPr>
          <w:rFonts w:ascii="Arial" w:cs="Arial" w:eastAsia="Arial" w:hAnsi="Arial"/>
          <w:sz w:val="14"/>
          <w:szCs w:val="14"/>
          <w:color w:val="auto"/>
        </w:rPr>
        <w:t>in the case of an underwritten offering, make senior management of the Company available to assist to the extent reasonably requested by the managing underwriters of any Underwritten Offering to be made pursuant to such registration in the marketing of the Registrable Securities to be sold in the Underwritten Offering, including the participation of such members of the Company’s senior management in “road show” presentations and other customary marketing activities, including “one-on-one” meetings with prospective purchasers of the Registrable Securities to be sold in the Underwritten Offering, and otherwise to facilitate, cooperate with, and participate in each proposed offering contemplated herein and customary selling efforts related thereto, in each case to the same extent as if the Company were engaged in a primary registered offering of its Common Stock</w:t>
      </w:r>
    </w:p>
    <w:p>
      <w:pPr>
        <w:spacing w:after="0" w:line="141" w:lineRule="exact"/>
        <w:rPr>
          <w:rFonts w:ascii="Arial" w:cs="Arial" w:eastAsia="Arial" w:hAnsi="Arial"/>
          <w:sz w:val="14"/>
          <w:szCs w:val="14"/>
          <w:color w:val="auto"/>
        </w:rPr>
      </w:pPr>
    </w:p>
    <w:p>
      <w:pPr>
        <w:ind w:left="1400" w:hanging="412"/>
        <w:spacing w:after="0"/>
        <w:tabs>
          <w:tab w:leader="none" w:pos="140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use reasonable best efforts to: (a) obtain all consents of independent public accountants required to be included in the Registration</w:t>
      </w:r>
    </w:p>
    <w:p>
      <w:pPr>
        <w:spacing w:after="0" w:line="5" w:lineRule="exact"/>
        <w:rPr>
          <w:rFonts w:ascii="Arial" w:cs="Arial" w:eastAsia="Arial" w:hAnsi="Arial"/>
          <w:sz w:val="15"/>
          <w:szCs w:val="15"/>
          <w:color w:val="auto"/>
        </w:rPr>
      </w:pPr>
    </w:p>
    <w:p>
      <w:pPr>
        <w:spacing w:after="0" w:line="214" w:lineRule="auto"/>
        <w:rPr>
          <w:rFonts w:ascii="Arial" w:cs="Arial" w:eastAsia="Arial" w:hAnsi="Arial"/>
          <w:sz w:val="15"/>
          <w:szCs w:val="15"/>
          <w:color w:val="auto"/>
        </w:rPr>
      </w:pPr>
      <w:r>
        <w:rPr>
          <w:rFonts w:ascii="Arial" w:cs="Arial" w:eastAsia="Arial" w:hAnsi="Arial"/>
          <w:sz w:val="16"/>
          <w:szCs w:val="16"/>
          <w:color w:val="auto"/>
        </w:rPr>
        <w:t>Statement and</w:t>
      </w:r>
    </w:p>
    <w:p>
      <w:pPr>
        <w:ind w:right="300" w:firstLine="3"/>
        <w:spacing w:after="0" w:line="261" w:lineRule="auto"/>
        <w:tabs>
          <w:tab w:leader="none" w:pos="417" w:val="left"/>
        </w:tabs>
        <w:numPr>
          <w:ilvl w:val="0"/>
          <w:numId w:val="190"/>
        </w:numPr>
        <w:rPr>
          <w:rFonts w:ascii="Arial" w:cs="Arial" w:eastAsia="Arial" w:hAnsi="Arial"/>
          <w:sz w:val="14"/>
          <w:szCs w:val="14"/>
          <w:color w:val="auto"/>
        </w:rPr>
      </w:pPr>
      <w:r>
        <w:rPr>
          <w:rFonts w:ascii="Arial" w:cs="Arial" w:eastAsia="Arial" w:hAnsi="Arial"/>
          <w:sz w:val="14"/>
          <w:szCs w:val="14"/>
          <w:color w:val="auto"/>
        </w:rPr>
        <w:t>in connection with each offering and sale of Registrable Securities, obtain one or more comfort letters, addressed to the underwriters and to the Selling Holders, dated the date of the underwriting agreement for such offering and the date of each closing under the underwriting agreement for such offering, signed by the Company’s independent public accountants in customary form and covering such matters of the type customarily covered by comfort letters as the underwriters or Holders of a majority of the Registrable Securities being sold in such offering, as applicable, reasonably request;</w:t>
      </w:r>
    </w:p>
    <w:p>
      <w:pPr>
        <w:spacing w:after="0" w:line="126" w:lineRule="exact"/>
        <w:rPr>
          <w:rFonts w:ascii="Arial" w:cs="Arial" w:eastAsia="Arial" w:hAnsi="Arial"/>
          <w:sz w:val="14"/>
          <w:szCs w:val="14"/>
          <w:color w:val="auto"/>
        </w:rPr>
      </w:pPr>
    </w:p>
    <w:p>
      <w:pPr>
        <w:ind w:right="160" w:firstLine="988"/>
        <w:spacing w:after="0" w:line="244" w:lineRule="auto"/>
        <w:tabs>
          <w:tab w:leader="none" w:pos="1468" w:val="left"/>
        </w:tabs>
        <w:numPr>
          <w:ilvl w:val="1"/>
          <w:numId w:val="190"/>
        </w:numPr>
        <w:rPr>
          <w:rFonts w:ascii="Arial" w:cs="Arial" w:eastAsia="Arial" w:hAnsi="Arial"/>
          <w:sz w:val="15"/>
          <w:szCs w:val="15"/>
          <w:color w:val="auto"/>
        </w:rPr>
      </w:pPr>
      <w:r>
        <w:rPr>
          <w:rFonts w:ascii="Arial" w:cs="Arial" w:eastAsia="Arial" w:hAnsi="Arial"/>
          <w:sz w:val="15"/>
          <w:szCs w:val="15"/>
          <w:color w:val="auto"/>
        </w:rPr>
        <w:t>use reasonable best efforts to obtain: (a) all legal opinions from Company Outside Counsel (or internal counsel) required to be included in the Registration Statement and (b) in connection with each closing of a sale of Registrable Securities, legal opinions from Company Outside Counsel (or internal counsel if acceptable to the managing underwriters), addressed to the underwriters, dated as of the date of such closing, with respect to the Registration Statement, each amendment and supplement thereto (including the preliminary prospectus) and such other documents</w:t>
      </w:r>
    </w:p>
    <w:p>
      <w:pPr>
        <w:sectPr>
          <w:pgSz w:w="11900" w:h="16838" w:orient="portrait"/>
          <w:cols w:equalWidth="0" w:num="1">
            <w:col w:w="10200"/>
          </w:cols>
          <w:pgMar w:left="860" w:top="1282" w:right="839" w:bottom="1440" w:gutter="0" w:footer="0" w:header="0"/>
        </w:sectPr>
      </w:pPr>
    </w:p>
    <w:bookmarkStart w:id="289" w:name="page290"/>
    <w:bookmarkEnd w:id="289"/>
    <w:p>
      <w:pPr>
        <w:ind w:left="490"/>
        <w:spacing w:after="0"/>
        <w:rPr>
          <w:sz w:val="20"/>
          <w:szCs w:val="20"/>
          <w:color w:val="auto"/>
        </w:rPr>
      </w:pPr>
      <w:r>
        <w:rPr>
          <w:rFonts w:ascii="Arial" w:cs="Arial" w:eastAsia="Arial" w:hAnsi="Arial"/>
          <w:sz w:val="16"/>
          <w:szCs w:val="16"/>
          <w:color w:val="auto"/>
        </w:rPr>
        <w:t>relating thereto in customary form and covering such matters of the type customarily covered by legal opinions of such nature;</w:t>
      </w:r>
    </w:p>
    <w:p>
      <w:pPr>
        <w:spacing w:after="0" w:line="165" w:lineRule="exact"/>
        <w:rPr>
          <w:sz w:val="20"/>
          <w:szCs w:val="20"/>
          <w:color w:val="auto"/>
        </w:rPr>
      </w:pPr>
    </w:p>
    <w:p>
      <w:pPr>
        <w:ind w:left="10" w:right="120" w:firstLine="974"/>
        <w:spacing w:after="0" w:line="279" w:lineRule="auto"/>
        <w:tabs>
          <w:tab w:leader="none" w:pos="134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As a condition precedent to the obligations of the Company to file any registration statement covering Registrable Securities, each Holder of Registrable Securities as to which any registration is being effected shall furnish the Company with such information regarding such Holder and pertinent to the disclosure requirements relating to the registration and the distribution of such securities as the Company may from time to time reasonably request in writing.</w:t>
      </w:r>
    </w:p>
    <w:p>
      <w:pPr>
        <w:spacing w:after="0" w:line="126" w:lineRule="exact"/>
        <w:rPr>
          <w:sz w:val="20"/>
          <w:szCs w:val="20"/>
          <w:color w:val="auto"/>
        </w:rPr>
      </w:pPr>
    </w:p>
    <w:p>
      <w:pPr>
        <w:jc w:val="both"/>
        <w:ind w:left="10" w:right="40" w:firstLine="492"/>
        <w:spacing w:after="0" w:line="234" w:lineRule="auto"/>
        <w:rPr>
          <w:sz w:val="20"/>
          <w:szCs w:val="20"/>
          <w:color w:val="auto"/>
        </w:rPr>
      </w:pPr>
      <w:r>
        <w:rPr>
          <w:rFonts w:ascii="Arial" w:cs="Arial" w:eastAsia="Arial" w:hAnsi="Arial"/>
          <w:sz w:val="15"/>
          <w:szCs w:val="15"/>
          <w:color w:val="auto"/>
        </w:rPr>
        <w:t>Each Holder agrees by acquisition of the Registrable Securities that (i) upon receipt of any notice from the Company of the happening of any event of the kind described in Section 3(a)(v), such Holder shall forthwith discontinue its disposition of Registrable Securities pursuant to the registration statement relating to such Registrable Securities until such Holder’s receipt of the copies of the supplemented or amended prospectus contemplated by Section 3(a)(v);</w:t>
      </w:r>
    </w:p>
    <w:p>
      <w:pPr>
        <w:spacing w:after="0" w:line="2" w:lineRule="exact"/>
        <w:rPr>
          <w:sz w:val="20"/>
          <w:szCs w:val="20"/>
          <w:color w:val="auto"/>
        </w:rPr>
      </w:pPr>
    </w:p>
    <w:p>
      <w:pPr>
        <w:ind w:left="10" w:right="360" w:hanging="10"/>
        <w:spacing w:after="0" w:line="214" w:lineRule="auto"/>
        <w:tabs>
          <w:tab w:leader="none" w:pos="42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upon receipt of any notice from the Company of the happening of any event of the kind described in clause (A) of Section 3(a)(ix), such Holder shall discontinue its disposition of Registrable Securities pursuant to such registration statement until such Holder’s receipt of the notice described in clause (iv) of Section 3(a)(ix); and (iii) upon receipt of any notice from the Company of the happening of any event of the kind described in clause (B) of Section 3(a)(xi), such Holder shall discontinue its disposition of Registrable Securities pursuant to such</w:t>
      </w:r>
    </w:p>
    <w:p>
      <w:pPr>
        <w:ind w:left="10" w:right="100"/>
        <w:spacing w:after="0" w:line="223" w:lineRule="auto"/>
        <w:rPr>
          <w:rFonts w:ascii="Arial" w:cs="Arial" w:eastAsia="Arial" w:hAnsi="Arial"/>
          <w:sz w:val="16"/>
          <w:szCs w:val="16"/>
          <w:color w:val="auto"/>
        </w:rPr>
      </w:pPr>
      <w:r>
        <w:rPr>
          <w:rFonts w:ascii="Arial" w:cs="Arial" w:eastAsia="Arial" w:hAnsi="Arial"/>
          <w:sz w:val="16"/>
          <w:szCs w:val="16"/>
          <w:color w:val="auto"/>
        </w:rPr>
        <w:t xml:space="preserve">registration statement in the applicable state jurisdiction(s) until such Holder’s receipt of the notice described in clause (C) of Section 3(a)(ix). The length of time that any registration statement is required to remain effective shall be extended by any period of time that such registration statement is unavailable for use pursuant to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any registration statement be required to remain effective after the date on which all Registrable Securities cease to be Registrable Securities.</w:t>
      </w:r>
    </w:p>
    <w:p>
      <w:pPr>
        <w:spacing w:after="0" w:line="154" w:lineRule="exact"/>
        <w:rPr>
          <w:sz w:val="20"/>
          <w:szCs w:val="20"/>
          <w:color w:val="auto"/>
        </w:rPr>
      </w:pPr>
    </w:p>
    <w:p>
      <w:pPr>
        <w:ind w:left="490"/>
        <w:spacing w:after="0"/>
        <w:tabs>
          <w:tab w:leader="none" w:pos="1289"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65" w:lineRule="exact"/>
        <w:rPr>
          <w:sz w:val="20"/>
          <w:szCs w:val="20"/>
          <w:color w:val="auto"/>
        </w:rPr>
      </w:pPr>
    </w:p>
    <w:p>
      <w:pPr>
        <w:ind w:left="10" w:firstLine="974"/>
        <w:spacing w:after="0" w:line="252" w:lineRule="auto"/>
        <w:tabs>
          <w:tab w:leader="none" w:pos="1412"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Indemnification by the Company</w:t>
      </w:r>
      <w:r>
        <w:rPr>
          <w:rFonts w:ascii="Arial" w:cs="Arial" w:eastAsia="Arial" w:hAnsi="Arial"/>
          <w:sz w:val="14"/>
          <w:szCs w:val="14"/>
          <w:color w:val="auto"/>
        </w:rPr>
        <w:t>. The Company agrees to indemnify and hold harmless to the fullest extent permitted by law, each Holder, any Person who is or might be deemed to be a controlling person of the Company or any of its subsidiaries within the meaning of Section 15 of the Securities Act or Section 20 of the Exchange Act their respective direct and indirect general and limited partners, advisory board members, directors, officers, trustees, managers, members, agents, Affiliates and shareholders, and each other Person, if any, who controls any such Holder or controlling person within the meaning of Section 15 of the Securities Act or Section 20 of the Exchange Act (each such person being referred to herein as a “Covered Person”) against, and pay and reimburse such Covered Persons for any losses, claims, damages, liabilities, joint or several, costs (including, without limitation, costs of preparation and reasonable attorneys’ fees and any legal or other fees or expenses incurred by such Covered Person in connections with any investigation or proceeding), expenses, judgments, fines, penalties, charges and amounts paid in settlement (collectively, “Losses” and, individually, each a “Loss”) to which such Covered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w:t>
      </w:r>
    </w:p>
    <w:p>
      <w:pPr>
        <w:sectPr>
          <w:pgSz w:w="11900" w:h="16838" w:orient="portrait"/>
          <w:cols w:equalWidth="0" w:num="1">
            <w:col w:w="10690"/>
          </w:cols>
          <w:pgMar w:left="370" w:top="1282" w:right="839" w:bottom="1440" w:gutter="0" w:footer="0" w:header="0"/>
        </w:sectPr>
      </w:pPr>
    </w:p>
    <w:bookmarkStart w:id="290" w:name="page291"/>
    <w:bookmarkEnd w:id="290"/>
    <w:p>
      <w:pPr>
        <w:ind w:left="10"/>
        <w:spacing w:after="0" w:line="232" w:lineRule="auto"/>
        <w:rPr>
          <w:sz w:val="20"/>
          <w:szCs w:val="20"/>
          <w:color w:val="auto"/>
        </w:rPr>
      </w:pPr>
      <w:r>
        <w:rPr>
          <w:rFonts w:ascii="Arial" w:cs="Arial" w:eastAsia="Arial" w:hAnsi="Arial"/>
          <w:sz w:val="15"/>
          <w:szCs w:val="15"/>
          <w:color w:val="auto"/>
        </w:rPr>
        <w:t>material fact contained or incorporated by reference in any Registration Statement, prospectus, preliminary prospectus or free writing prospectus, or any amendment thereof or supplement thereto, or any document incorporated by reference therein, or any other such disclosure document (including reports and other documents filed under the Exchange Act and any document incorporated by reference therein) or other document or report, (ii) any omission or alleged omission of a material fact required to be stated therein or necessary to make the statements therein not misleading, or (iii) any violation by the Company of any rule or regulation promulgated under the Securities Act or any state securities laws applicable to the Company and relating to action or inaction required of the Company in connection with any such registration, and the Company will pay and reimburse such Covered Persons for any legal or any other expenses actually and reasonably incurred by them in connection with investigating, defending or settling any such loss, claim, liability, action or proceeding; provided that the Company shall not be liable in any such case to the extent that any such Loss (or action or proceeding in respect thereof) arises out of or is based upon an untrue statement or alleged untrue statement, or omission or alleged omission, made or incorporated by reference in such Registration Statement, any such prospectus, preliminary prospectus or free writing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in any application in reliance upon, and in conformity with, the Selling Holder Information. In connection with an Underwritten Offering, the Company, if requested, will indemnify the underwriters, their officers and directors and each Person who controls such underwriters (within the meaning of the Securities Act) to the same extent as provided above with respect to the indemnification of the Covered Persons and in such other manner as the underwriters may request in accordance with their standard practice.</w:t>
      </w:r>
    </w:p>
    <w:p>
      <w:pPr>
        <w:spacing w:after="0" w:line="146" w:lineRule="exact"/>
        <w:rPr>
          <w:sz w:val="20"/>
          <w:szCs w:val="20"/>
          <w:color w:val="auto"/>
        </w:rPr>
      </w:pPr>
    </w:p>
    <w:p>
      <w:pPr>
        <w:ind w:left="10" w:right="40" w:firstLine="974"/>
        <w:spacing w:after="0" w:line="217" w:lineRule="auto"/>
        <w:tabs>
          <w:tab w:leader="none" w:pos="1411"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Holders</w:t>
      </w:r>
      <w:r>
        <w:rPr>
          <w:rFonts w:ascii="Arial" w:cs="Arial" w:eastAsia="Arial" w:hAnsi="Arial"/>
          <w:sz w:val="16"/>
          <w:szCs w:val="16"/>
          <w:color w:val="auto"/>
        </w:rPr>
        <w:t>. In connection with any Registration Statement in which a Holder is participating, each such Holder will indemnify and hold harmless the Company, its directors and officers, employees, agents and any Person who is or might be deemed to be a controlling person of the Company or any of its subsidiaries within the meaning of Section 15 of the Securities Act or Section 20 of the Exchange Act against any Losses to which such Holder or any such director or officer, any such underwriter or controlling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w:t>
      </w:r>
    </w:p>
    <w:p>
      <w:pPr>
        <w:ind w:left="10" w:hanging="10"/>
        <w:spacing w:after="0" w:line="252" w:lineRule="auto"/>
        <w:tabs>
          <w:tab w:leader="none" w:pos="206" w:val="left"/>
        </w:tabs>
        <w:numPr>
          <w:ilvl w:val="0"/>
          <w:numId w:val="195"/>
        </w:numPr>
        <w:rPr>
          <w:rFonts w:ascii="Arial" w:cs="Arial" w:eastAsia="Arial" w:hAnsi="Arial"/>
          <w:sz w:val="14"/>
          <w:szCs w:val="14"/>
          <w:color w:val="auto"/>
        </w:rPr>
      </w:pPr>
      <w:r>
        <w:rPr>
          <w:rFonts w:ascii="Arial" w:cs="Arial" w:eastAsia="Arial" w:hAnsi="Arial"/>
          <w:sz w:val="14"/>
          <w:szCs w:val="14"/>
          <w:color w:val="auto"/>
        </w:rPr>
        <w:t>any untrue or alleged untrue statement of material fact contained in the Registration Statement, prospectus, preliminary prospectus or free writing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preliminary prospectus or free writing prospectus, or any amendment or supplement thereto, or in any application, in reliance upon and in conformity with the Selling Holder Information (and except insofar as such Losses arise out of or are based upon any such untrue statement or omission or alleged untrue statement or omission based upon information relating to any underwriter furnished to the Company in writing by such underwriter expressly for use in such Registration Statement), and such Holder will reimburse the Company and each such director, officer, underwriter and controlling Person for any legal or</w:t>
      </w:r>
    </w:p>
    <w:p>
      <w:pPr>
        <w:sectPr>
          <w:pgSz w:w="11900" w:h="16838" w:orient="portrait"/>
          <w:cols w:equalWidth="0" w:num="1">
            <w:col w:w="10710"/>
          </w:cols>
          <w:pgMar w:left="370" w:top="1282" w:right="819" w:bottom="1440" w:gutter="0" w:footer="0" w:header="0"/>
        </w:sectPr>
      </w:pPr>
    </w:p>
    <w:bookmarkStart w:id="291" w:name="page292"/>
    <w:bookmarkEnd w:id="291"/>
    <w:p>
      <w:pPr>
        <w:ind w:left="10" w:right="40"/>
        <w:spacing w:after="0" w:line="225" w:lineRule="auto"/>
        <w:rPr>
          <w:sz w:val="20"/>
          <w:szCs w:val="20"/>
          <w:color w:val="auto"/>
        </w:rPr>
      </w:pPr>
      <w:r>
        <w:rPr>
          <w:rFonts w:ascii="Arial" w:cs="Arial" w:eastAsia="Arial" w:hAnsi="Arial"/>
          <w:sz w:val="16"/>
          <w:szCs w:val="16"/>
          <w:color w:val="auto"/>
        </w:rPr>
        <w:t>any other expenses actually and reasonably incurred by them in connection with investigating, defending or settling any such loss, claim, liability, action or proceeding; provided, however, that the obligations of such Holder hereunder shall not apply to amounts paid in settlement of any such Losses (or actions in respect thereof) if such settlement is effected without the consent of such Holder (which consent shall not be unreasonably withheld); and provided, further that the obligation to indemnify and hold harmless shall be individual and several to each Holder and shall be limited to the amount of net proceeds received by such Holder from the sale of Registrable Securities covered by such Registration Statement.</w:t>
      </w:r>
    </w:p>
    <w:p>
      <w:pPr>
        <w:spacing w:after="0" w:line="143" w:lineRule="exact"/>
        <w:rPr>
          <w:sz w:val="20"/>
          <w:szCs w:val="20"/>
          <w:color w:val="auto"/>
        </w:rPr>
      </w:pPr>
    </w:p>
    <w:p>
      <w:pPr>
        <w:ind w:left="10" w:right="220" w:firstLine="974"/>
        <w:spacing w:after="0" w:line="217" w:lineRule="auto"/>
        <w:tabs>
          <w:tab w:leader="none" w:pos="1412"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Notices of Claims, etc.</w:t>
      </w:r>
      <w:r>
        <w:rPr>
          <w:rFonts w:ascii="Arial" w:cs="Arial" w:eastAsia="Arial" w:hAnsi="Arial"/>
          <w:sz w:val="16"/>
          <w:szCs w:val="16"/>
          <w:color w:val="auto"/>
        </w:rPr>
        <w:t xml:space="preserve"> Any person entitled to indemnification hereunder shall give prompt written notice to the indemnifying party of any claim or the commencement of any proceeding with respect to which it seeks indemnification pursuant hereto; provided, however, that any delay or failure to so notify the indemnifying party shall relieve the indemnifying party of its obligations hereunder only to the extent, if at all, that it is actually and materially prejudiced by reason of such delay or failure. The indemnifying party shall have the right, exercisable by giving written notice to an indemnified party promptly after the receipt of written notice from such indemnified party of such claim or proceeding, to assume, at the</w:t>
      </w:r>
    </w:p>
    <w:p>
      <w:pPr>
        <w:spacing w:after="0" w:line="2" w:lineRule="exact"/>
        <w:rPr>
          <w:rFonts w:ascii="Arial" w:cs="Arial" w:eastAsia="Arial" w:hAnsi="Arial"/>
          <w:sz w:val="16"/>
          <w:szCs w:val="16"/>
          <w:color w:val="auto"/>
        </w:rPr>
      </w:pPr>
    </w:p>
    <w:p>
      <w:pPr>
        <w:ind w:left="10" w:right="80"/>
        <w:spacing w:after="0" w:line="244" w:lineRule="auto"/>
        <w:rPr>
          <w:rFonts w:ascii="Arial" w:cs="Arial" w:eastAsia="Arial" w:hAnsi="Arial"/>
          <w:sz w:val="16"/>
          <w:szCs w:val="16"/>
          <w:color w:val="auto"/>
        </w:rPr>
      </w:pPr>
      <w:r>
        <w:rPr>
          <w:rFonts w:ascii="Arial" w:cs="Arial" w:eastAsia="Arial" w:hAnsi="Arial"/>
          <w:sz w:val="14"/>
          <w:szCs w:val="14"/>
          <w:color w:val="auto"/>
        </w:rPr>
        <w:t>indemnifying party’s expense, the defense of any such claim or proceeding, with counsel reasonably acceptable to such indemnified party; provided that (i) any indemnified party shall have the right to select and employ separate counsel and to participate in the defense of any such claim or proceeding, but the fees and expenses of such counsel shall be at the expense of such indemnified party unless (A) the indemnifying party has agreed in writing to pay such fees or expenses or</w:t>
      </w:r>
    </w:p>
    <w:p>
      <w:pPr>
        <w:spacing w:after="0" w:line="1" w:lineRule="exact"/>
        <w:rPr>
          <w:rFonts w:ascii="Arial" w:cs="Arial" w:eastAsia="Arial" w:hAnsi="Arial"/>
          <w:sz w:val="16"/>
          <w:szCs w:val="16"/>
          <w:color w:val="auto"/>
        </w:rPr>
      </w:pPr>
    </w:p>
    <w:p>
      <w:pPr>
        <w:ind w:left="10" w:hanging="10"/>
        <w:spacing w:after="0" w:line="231" w:lineRule="auto"/>
        <w:tabs>
          <w:tab w:leader="none" w:pos="269"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indemnifying party shall have failed to assume, or in the event of a conflict of interest cannot assume, the defense of such claim or proceeding within a reasonable time after receipt of notice of such claim or proceeding or fails to employ counsel reasonably satisfactory to such indemnified party or to pursue the defense of such claim in a reasonably vigorous manner or (C) the named parties to any proceeding (including impleaded parties) include both such indemnified and the indemnifying party, and such indemnified party has reasonably concluded (based upon advice of its counsel) that there may be legal defenses available to it that are inconsistent with those available to the indemnifying party or that a conflict of interest is likely to exist among such indemnified party and any other indemnified parties (in which case the indemnifying party shall not have the right to assume the defense of such action on behalf of such indemnified party); and (ii) subject to clause (i)(C) above,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the indemnifying party assumes the defense, the indemnifying party shall not have the right to settle such action without the consent of the indemnified party. No indemnifying party shall consent to entry of any judgment or enter into any settlement which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ectPr>
          <w:pgSz w:w="11900" w:h="16838" w:orient="portrait"/>
          <w:cols w:equalWidth="0" w:num="1">
            <w:col w:w="10750"/>
          </w:cols>
          <w:pgMar w:left="370" w:top="1282" w:right="779" w:bottom="1440" w:gutter="0" w:footer="0" w:header="0"/>
        </w:sectPr>
      </w:pPr>
    </w:p>
    <w:bookmarkStart w:id="292" w:name="page293"/>
    <w:bookmarkEnd w:id="292"/>
    <w:p>
      <w:pPr>
        <w:ind w:right="60" w:firstLine="492"/>
        <w:spacing w:after="0" w:line="233" w:lineRule="auto"/>
        <w:rPr>
          <w:sz w:val="20"/>
          <w:szCs w:val="20"/>
          <w:color w:val="auto"/>
        </w:rPr>
      </w:pPr>
      <w:r>
        <w:rPr>
          <w:rFonts w:ascii="Arial" w:cs="Arial" w:eastAsia="Arial" w:hAnsi="Arial"/>
          <w:sz w:val="16"/>
          <w:szCs w:val="16"/>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141" w:lineRule="exact"/>
        <w:rPr>
          <w:sz w:val="20"/>
          <w:szCs w:val="20"/>
          <w:color w:val="auto"/>
        </w:rPr>
      </w:pPr>
    </w:p>
    <w:p>
      <w:pPr>
        <w:ind w:firstLine="974"/>
        <w:spacing w:after="0" w:line="233" w:lineRule="auto"/>
        <w:tabs>
          <w:tab w:leader="none" w:pos="1401" w:val="left"/>
        </w:tabs>
        <w:numPr>
          <w:ilvl w:val="0"/>
          <w:numId w:val="198"/>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 If the indemnification provided for in this Section is held by a court of competent jurisdiction to be unavailable to an indemnified party with respect to any Losses (other than in accordance with its terms), then the indemnifying party, in lieu of indemnifying such indemnified party thereunder, will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which resulted in such Losses as well as any other relevant equitable considerations. The relevant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Holder will be obligated to contribute pursuant to this Section 4(d) will be limited to an amount equal to the net proceeds to such Holder from the Registrable Securities sold pursuant to the Registration Statement which gives rise to such obligation to contribute (less the aggregate amount of any damages which the Holder has otherwise been required to pay in respect of such Loss or any substantially similar Loss arising from the sale of such Registrable Securities). No person guilty of fraudulent misrepresentation (within the meaning of Section 11(f) of the Securities Act) shall be entitled to contribution from any person who was not guilty of such fraudulent misrepresentation.</w:t>
      </w:r>
    </w:p>
    <w:p>
      <w:pPr>
        <w:spacing w:after="0" w:line="145" w:lineRule="exact"/>
        <w:rPr>
          <w:sz w:val="20"/>
          <w:szCs w:val="20"/>
          <w:color w:val="auto"/>
        </w:rPr>
      </w:pPr>
    </w:p>
    <w:p>
      <w:pPr>
        <w:ind w:firstLine="492"/>
        <w:spacing w:after="0" w:line="21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Covenants Relating to Rule 144</w:t>
      </w:r>
      <w:r>
        <w:rPr>
          <w:rFonts w:ascii="Arial" w:cs="Arial" w:eastAsia="Arial" w:hAnsi="Arial"/>
          <w:sz w:val="16"/>
          <w:szCs w:val="16"/>
          <w:color w:val="auto"/>
        </w:rPr>
        <w:t>. The Company shall use its commercially reasonable efforts to file any reports required to be filed by it under the Securities Act and the Exchange Act and to take such further action as any Holder may reasonably request to enable Holders to sell Registrable Securities without registration under the Securities Act from time to time within the limitation of the exemptions provided by Rule 144. The Company shall, in connection with any request by a Holder in connection with a sale, transfer or other disposition by such Holder of any Registrable Securities pursuant to Rule 144 for the removal of any restrictive legend or similar restriction on such Registrable Securities, promptly cause the removal of such restrictive legend or restriction, make or cause to be made appropriate</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notifications on the books of the Company’s transfer agent and provide a customary opinion of counsel and instruction letter required by the Company’s transfer agent.</w:t>
      </w:r>
    </w:p>
    <w:p>
      <w:pPr>
        <w:spacing w:after="0" w:line="152"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Registration Expenses</w:t>
      </w:r>
      <w:r>
        <w:rPr>
          <w:rFonts w:ascii="Arial" w:cs="Arial" w:eastAsia="Arial" w:hAnsi="Arial"/>
          <w:sz w:val="14"/>
          <w:szCs w:val="14"/>
          <w:color w:val="auto"/>
        </w:rPr>
        <w:t>. The Company shall be responsible for Registration Expenses hereunder.</w:t>
      </w:r>
    </w:p>
    <w:p>
      <w:pPr>
        <w:spacing w:after="0" w:line="175"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ectPr>
          <w:pgSz w:w="11900" w:h="16838" w:orient="portrait"/>
          <w:cols w:equalWidth="0" w:num="1">
            <w:col w:w="10680"/>
          </w:cols>
          <w:pgMar w:left="380" w:top="1282" w:right="839" w:bottom="1440" w:gutter="0" w:footer="0" w:header="0"/>
        </w:sectPr>
      </w:pPr>
    </w:p>
    <w:bookmarkStart w:id="293" w:name="page294"/>
    <w:bookmarkEnd w:id="293"/>
    <w:p>
      <w:pPr>
        <w:ind w:right="160" w:firstLine="974"/>
        <w:spacing w:after="0" w:line="245" w:lineRule="auto"/>
        <w:tabs>
          <w:tab w:leader="none" w:pos="133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such time as no Registrable Securities remain outstanding, except for the provisions of Sections 4, 6 and this Section 7 shall survive such termination of this Agreement.</w:t>
      </w:r>
    </w:p>
    <w:p>
      <w:pPr>
        <w:spacing w:after="0" w:line="148" w:lineRule="exact"/>
        <w:rPr>
          <w:sz w:val="20"/>
          <w:szCs w:val="20"/>
          <w:color w:val="auto"/>
        </w:rPr>
      </w:pPr>
    </w:p>
    <w:p>
      <w:pPr>
        <w:jc w:val="both"/>
        <w:ind w:right="300" w:firstLine="974"/>
        <w:spacing w:after="0" w:line="243" w:lineRule="auto"/>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b ) </w:t>
      </w:r>
      <w:r>
        <w:rPr>
          <w:rFonts w:ascii="Arial" w:cs="Arial" w:eastAsia="Arial" w:hAnsi="Arial"/>
          <w:sz w:val="16"/>
          <w:szCs w:val="16"/>
          <w:u w:val="single" w:color="auto"/>
          <w:color w:val="auto"/>
        </w:rPr>
        <w:t>Other Holder Activities</w:t>
      </w:r>
      <w:r>
        <w:rPr>
          <w:rFonts w:ascii="Arial" w:cs="Arial" w:eastAsia="Arial" w:hAnsi="Arial"/>
          <w:sz w:val="16"/>
          <w:szCs w:val="16"/>
          <w:color w:val="auto"/>
        </w:rPr>
        <w:t>. Notwithstanding anything in this Agreement, none of the provisions of this Agreement shall in any way limit a Holder or any of its Affiliates from engaging in any brokerage, investment advisory, financial advisory, financing, asset management, trading, market making, arbitrage, investment activity and other similar activities conducted in the ordinary course of their business.</w:t>
      </w:r>
    </w:p>
    <w:p>
      <w:pPr>
        <w:spacing w:after="0" w:line="169" w:lineRule="exact"/>
        <w:rPr>
          <w:sz w:val="20"/>
          <w:szCs w:val="20"/>
          <w:color w:val="auto"/>
        </w:rPr>
      </w:pPr>
    </w:p>
    <w:p>
      <w:pPr>
        <w:ind w:right="20" w:firstLine="974"/>
        <w:spacing w:after="0" w:line="264" w:lineRule="auto"/>
        <w:tabs>
          <w:tab w:leader="none" w:pos="1402"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Amendment, Modification and Waiver</w:t>
      </w:r>
      <w:r>
        <w:rPr>
          <w:rFonts w:ascii="Arial" w:cs="Arial" w:eastAsia="Arial" w:hAnsi="Arial"/>
          <w:sz w:val="16"/>
          <w:szCs w:val="16"/>
          <w:color w:val="auto"/>
        </w:rPr>
        <w:t>. 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154" w:lineRule="exact"/>
        <w:rPr>
          <w:rFonts w:ascii="Arial" w:cs="Arial" w:eastAsia="Arial" w:hAnsi="Arial"/>
          <w:sz w:val="16"/>
          <w:szCs w:val="16"/>
          <w:color w:val="auto"/>
        </w:rPr>
      </w:pPr>
    </w:p>
    <w:p>
      <w:pPr>
        <w:ind w:firstLine="974"/>
        <w:spacing w:after="0" w:line="283" w:lineRule="auto"/>
        <w:tabs>
          <w:tab w:leader="none" w:pos="1401"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No Third-Party Beneficiaries</w:t>
      </w:r>
      <w:r>
        <w:rPr>
          <w:rFonts w:ascii="Arial" w:cs="Arial" w:eastAsia="Arial" w:hAnsi="Arial"/>
          <w:sz w:val="15"/>
          <w:szCs w:val="15"/>
          <w:color w:val="auto"/>
        </w:rPr>
        <w:t>. Other than as set forth in Section 4 with respect to the indemnified parties and as expressly set forth elsewhere in this Agreement, nothing in this Agreement, express or implied, is intended to confer upon any person, other than the parties hereto, any rights or remedies under or by reason of this Agreement. Only the parties that are signatories to this Agreement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142" w:lineRule="exact"/>
        <w:rPr>
          <w:rFonts w:ascii="Arial" w:cs="Arial" w:eastAsia="Arial" w:hAnsi="Arial"/>
          <w:sz w:val="15"/>
          <w:szCs w:val="15"/>
          <w:color w:val="auto"/>
        </w:rPr>
      </w:pPr>
    </w:p>
    <w:p>
      <w:pPr>
        <w:ind w:right="100" w:firstLine="974"/>
        <w:spacing w:after="0" w:line="270" w:lineRule="auto"/>
        <w:tabs>
          <w:tab w:leader="none" w:pos="1402"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Except as otherwise expressly provided herein, this Agreement constitutes the entire agreement among the parties with respect to the subject matter of this Agreement and supersedes all prior agreements and understandings, both written and oral, between or on behalf of the parties hereto with respect to the subject matter of this Agreement.</w:t>
      </w:r>
    </w:p>
    <w:p>
      <w:pPr>
        <w:spacing w:after="0" w:line="158" w:lineRule="exact"/>
        <w:rPr>
          <w:rFonts w:ascii="Arial" w:cs="Arial" w:eastAsia="Arial" w:hAnsi="Arial"/>
          <w:sz w:val="16"/>
          <w:szCs w:val="16"/>
          <w:color w:val="auto"/>
        </w:rPr>
      </w:pPr>
    </w:p>
    <w:p>
      <w:pPr>
        <w:jc w:val="both"/>
        <w:ind w:right="200" w:firstLine="974"/>
        <w:spacing w:after="0" w:line="270" w:lineRule="auto"/>
        <w:tabs>
          <w:tab w:leader="none" w:pos="1404"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148" w:lineRule="exact"/>
        <w:rPr>
          <w:rFonts w:ascii="Arial" w:cs="Arial" w:eastAsia="Arial" w:hAnsi="Arial"/>
          <w:sz w:val="16"/>
          <w:szCs w:val="16"/>
          <w:color w:val="auto"/>
        </w:rPr>
      </w:pPr>
    </w:p>
    <w:p>
      <w:pPr>
        <w:ind w:right="40" w:firstLine="974"/>
        <w:spacing w:after="0" w:line="264" w:lineRule="auto"/>
        <w:tabs>
          <w:tab w:leader="none" w:pos="1401"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an original and all of which together shall constitute one and the same instrument. The counterparts of this Agreement may be executed and delivered by facsimile or other electronic imaging means (including in pdf or tif format sent by electronic mail) by a party to the other party and the receiving party may rely on the receipt of such document so executed and delivered by facsimile or other electronic imaging means as if the original had been received.</w:t>
      </w:r>
    </w:p>
    <w:p>
      <w:pPr>
        <w:spacing w:after="0" w:line="154" w:lineRule="exact"/>
        <w:rPr>
          <w:rFonts w:ascii="Arial" w:cs="Arial" w:eastAsia="Arial" w:hAnsi="Arial"/>
          <w:sz w:val="16"/>
          <w:szCs w:val="16"/>
          <w:color w:val="auto"/>
        </w:rPr>
      </w:pPr>
    </w:p>
    <w:p>
      <w:pPr>
        <w:ind w:left="1400" w:hanging="426"/>
        <w:spacing w:after="0"/>
        <w:tabs>
          <w:tab w:leader="none" w:pos="140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Specific Performance; Remedies</w:t>
      </w:r>
      <w:r>
        <w:rPr>
          <w:rFonts w:ascii="Arial" w:cs="Arial" w:eastAsia="Arial" w:hAnsi="Arial"/>
          <w:sz w:val="16"/>
          <w:szCs w:val="16"/>
          <w:color w:val="auto"/>
        </w:rPr>
        <w:t>. In the event of any actual or threatened default in, or breach of, any of the terms, conditions and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this Agreement, the</w:t>
      </w:r>
    </w:p>
    <w:p>
      <w:pPr>
        <w:sectPr>
          <w:pgSz w:w="11900" w:h="16838" w:orient="portrait"/>
          <w:cols w:equalWidth="0" w:num="1">
            <w:col w:w="10680"/>
          </w:cols>
          <w:pgMar w:left="380" w:top="1282" w:right="839" w:bottom="1440" w:gutter="0" w:footer="0" w:header="0"/>
        </w:sectPr>
      </w:pPr>
    </w:p>
    <w:bookmarkStart w:id="294" w:name="page295"/>
    <w:bookmarkEnd w:id="294"/>
    <w:p>
      <w:pPr>
        <w:spacing w:after="0" w:line="262" w:lineRule="auto"/>
        <w:rPr>
          <w:sz w:val="20"/>
          <w:szCs w:val="20"/>
          <w:color w:val="auto"/>
        </w:rPr>
      </w:pPr>
      <w:r>
        <w:rPr>
          <w:rFonts w:ascii="Arial" w:cs="Arial" w:eastAsia="Arial" w:hAnsi="Arial"/>
          <w:sz w:val="16"/>
          <w:szCs w:val="16"/>
          <w:color w:val="auto"/>
        </w:rPr>
        <w:t>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216" w:lineRule="exact"/>
        <w:rPr>
          <w:sz w:val="20"/>
          <w:szCs w:val="20"/>
          <w:color w:val="auto"/>
        </w:rPr>
      </w:pPr>
    </w:p>
    <w:p>
      <w:pPr>
        <w:ind w:right="240" w:firstLine="974"/>
        <w:spacing w:after="0" w:line="270" w:lineRule="auto"/>
        <w:tabs>
          <w:tab w:leader="none" w:pos="140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interpreted in accordance with, the laws of the State of Delaware applicable to contracts made and to be performed entirely within such State, without regard to any principles of conflicts of law principles thereof to the extent that such principles would apply the law of another jurisdiction.</w:t>
      </w:r>
    </w:p>
    <w:p>
      <w:pPr>
        <w:spacing w:after="0" w:line="158" w:lineRule="exact"/>
        <w:rPr>
          <w:rFonts w:ascii="Arial" w:cs="Arial" w:eastAsia="Arial" w:hAnsi="Arial"/>
          <w:sz w:val="16"/>
          <w:szCs w:val="16"/>
          <w:color w:val="auto"/>
        </w:rPr>
      </w:pPr>
    </w:p>
    <w:p>
      <w:pPr>
        <w:jc w:val="both"/>
        <w:ind w:right="320" w:firstLine="974"/>
        <w:spacing w:after="0" w:line="270" w:lineRule="auto"/>
        <w:tabs>
          <w:tab w:leader="none" w:pos="140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209" w:lineRule="exact"/>
        <w:rPr>
          <w:rFonts w:ascii="Arial" w:cs="Arial" w:eastAsia="Arial" w:hAnsi="Arial"/>
          <w:sz w:val="16"/>
          <w:szCs w:val="16"/>
          <w:color w:val="auto"/>
        </w:rPr>
      </w:pPr>
    </w:p>
    <w:p>
      <w:pPr>
        <w:ind w:right="240" w:firstLine="974"/>
        <w:spacing w:after="0" w:line="296" w:lineRule="auto"/>
        <w:tabs>
          <w:tab w:leader="none" w:pos="1401" w:val="left"/>
        </w:tabs>
        <w:numPr>
          <w:ilvl w:val="0"/>
          <w:numId w:val="202"/>
        </w:numPr>
        <w:rPr>
          <w:rFonts w:ascii="Arial" w:cs="Arial" w:eastAsia="Arial" w:hAnsi="Arial"/>
          <w:sz w:val="15"/>
          <w:szCs w:val="15"/>
          <w:color w:val="auto"/>
        </w:rPr>
      </w:pPr>
      <w:r>
        <w:rPr>
          <w:rFonts w:ascii="Arial" w:cs="Arial" w:eastAsia="Arial" w:hAnsi="Arial"/>
          <w:sz w:val="15"/>
          <w:szCs w:val="15"/>
          <w:color w:val="auto"/>
        </w:rPr>
        <w:t>J</w:t>
      </w:r>
      <w:r>
        <w:rPr>
          <w:rFonts w:ascii="Arial" w:cs="Arial" w:eastAsia="Arial" w:hAnsi="Arial"/>
          <w:sz w:val="15"/>
          <w:szCs w:val="15"/>
          <w:u w:val="single" w:color="auto"/>
          <w:color w:val="auto"/>
        </w:rPr>
        <w:t>urisdiction; Venue</w:t>
      </w:r>
      <w:r>
        <w:rPr>
          <w:rFonts w:ascii="Arial" w:cs="Arial" w:eastAsia="Arial" w:hAnsi="Arial"/>
          <w:sz w:val="15"/>
          <w:szCs w:val="15"/>
          <w:color w:val="auto"/>
        </w:rPr>
        <w:t>. Any suit, action or proceeding relating to this Agreement shall be brought exclusively in the Court of Chancery of the State of Delaware. The parties hereby consent to the exclusive jurisdiction of such courts for any such suit, action or proceeding, and irrevocably waive, to the fullest extent permitted by law, any objection to such courts that they may now or hereafter have based on improper venue or forum non conveniens.</w:t>
      </w:r>
    </w:p>
    <w:p>
      <w:pPr>
        <w:spacing w:after="0" w:line="131" w:lineRule="exact"/>
        <w:rPr>
          <w:rFonts w:ascii="Arial" w:cs="Arial" w:eastAsia="Arial" w:hAnsi="Arial"/>
          <w:sz w:val="15"/>
          <w:szCs w:val="15"/>
          <w:color w:val="auto"/>
        </w:rPr>
      </w:pPr>
    </w:p>
    <w:p>
      <w:pPr>
        <w:jc w:val="both"/>
        <w:ind w:right="20" w:firstLine="974"/>
        <w:spacing w:after="0" w:line="264" w:lineRule="auto"/>
        <w:tabs>
          <w:tab w:leader="none" w:pos="140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Unless otherwise specified herein, all notices required or permitted to be given under this Agreement shall be in writing, shall refer specifically to this Agreement and shall be delivered personally or sent by a 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Section 7(l):</w:t>
      </w:r>
    </w:p>
    <w:p>
      <w:pPr>
        <w:spacing w:after="0" w:line="144" w:lineRule="exact"/>
        <w:rPr>
          <w:sz w:val="20"/>
          <w:szCs w:val="20"/>
          <w:color w:val="auto"/>
        </w:rPr>
      </w:pPr>
    </w:p>
    <w:p>
      <w:pPr>
        <w:ind w:left="1120"/>
        <w:spacing w:after="0"/>
        <w:tabs>
          <w:tab w:leader="none" w:pos="2420" w:val="left"/>
        </w:tabs>
        <w:rPr>
          <w:sz w:val="20"/>
          <w:szCs w:val="20"/>
          <w:color w:val="auto"/>
        </w:rPr>
      </w:pPr>
      <w:r>
        <w:rPr>
          <w:rFonts w:ascii="Arial" w:cs="Arial" w:eastAsia="Arial" w:hAnsi="Arial"/>
          <w:sz w:val="16"/>
          <w:szCs w:val="16"/>
          <w:color w:val="auto"/>
        </w:rPr>
        <w:t>If to Bayview, to:</w:t>
      </w:r>
      <w:r>
        <w:rPr>
          <w:sz w:val="20"/>
          <w:szCs w:val="20"/>
          <w:color w:val="auto"/>
        </w:rPr>
        <w:tab/>
      </w:r>
      <w:r>
        <w:rPr>
          <w:rFonts w:ascii="Arial" w:cs="Arial" w:eastAsia="Arial" w:hAnsi="Arial"/>
          <w:sz w:val="15"/>
          <w:szCs w:val="15"/>
          <w:color w:val="auto"/>
        </w:rPr>
        <w:t>Brian E. Bomstein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c/o Bayview Fund Management 4425 Ponce De Leon Blvd.</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Coral Gables, FL 33146</w:t>
      </w:r>
    </w:p>
    <w:p>
      <w:pPr>
        <w:spacing w:after="0" w:line="192" w:lineRule="exact"/>
        <w:rPr>
          <w:sz w:val="20"/>
          <w:szCs w:val="20"/>
          <w:color w:val="auto"/>
        </w:rPr>
      </w:pPr>
    </w:p>
    <w:p>
      <w:pPr>
        <w:ind w:left="1120"/>
        <w:spacing w:after="0"/>
        <w:tabs>
          <w:tab w:leader="none" w:pos="2720" w:val="left"/>
        </w:tabs>
        <w:rPr>
          <w:sz w:val="20"/>
          <w:szCs w:val="20"/>
          <w:color w:val="auto"/>
        </w:rPr>
      </w:pPr>
      <w:r>
        <w:rPr>
          <w:rFonts w:ascii="Arial" w:cs="Arial" w:eastAsia="Arial" w:hAnsi="Arial"/>
          <w:sz w:val="16"/>
          <w:szCs w:val="16"/>
          <w:color w:val="auto"/>
        </w:rPr>
        <w:t>If to the Company, to:</w:t>
      </w:r>
      <w:r>
        <w:rPr>
          <w:sz w:val="20"/>
          <w:szCs w:val="20"/>
          <w:color w:val="auto"/>
        </w:rPr>
        <w:tab/>
      </w:r>
      <w:r>
        <w:rPr>
          <w:rFonts w:ascii="Arial" w:cs="Arial" w:eastAsia="Arial" w:hAnsi="Arial"/>
          <w:sz w:val="15"/>
          <w:szCs w:val="15"/>
          <w:color w:val="auto"/>
        </w:rPr>
        <w:t>Enact Holdings, Inc. 8325 Six Forks Road Raleigh, North Carolina 27615 Attention: General</w:t>
      </w:r>
    </w:p>
    <w:p>
      <w:pPr>
        <w:sectPr>
          <w:pgSz w:w="11900" w:h="16838" w:orient="portrait"/>
          <w:cols w:equalWidth="0" w:num="1">
            <w:col w:w="10700"/>
          </w:cols>
          <w:pgMar w:left="380" w:top="1098" w:right="81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ectPr>
          <w:pgSz w:w="11900" w:h="16838" w:orient="portrait"/>
          <w:cols w:equalWidth="0" w:num="1">
            <w:col w:w="9019"/>
          </w:cols>
          <w:pgMar w:left="1440" w:top="1262" w:right="1440" w:bottom="1440" w:gutter="0" w:footer="0" w:header="0"/>
        </w:sectPr>
      </w:pPr>
    </w:p>
    <w:bookmarkStart w:id="296" w:name="page297"/>
    <w:bookmarkEnd w:id="296"/>
    <w:p>
      <w:pPr>
        <w:ind w:left="2440"/>
        <w:spacing w:after="0"/>
        <w:rPr>
          <w:sz w:val="20"/>
          <w:szCs w:val="20"/>
          <w:color w:val="auto"/>
        </w:rPr>
      </w:pPr>
      <w:r>
        <w:rPr>
          <w:rFonts w:ascii="Arial" w:cs="Arial" w:eastAsia="Arial" w:hAnsi="Arial"/>
          <w:sz w:val="16"/>
          <w:szCs w:val="16"/>
          <w:b w:val="1"/>
          <w:bCs w:val="1"/>
          <w:color w:val="3F4244"/>
        </w:rPr>
        <w:t>HOLDERS: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BAYVIEW MSR OPPORTUNITY MASTER FUND, L.P.</w:t>
      </w:r>
    </w:p>
    <w:p>
      <w:pPr>
        <w:spacing w:after="0"/>
        <w:rPr>
          <w:sz w:val="20"/>
          <w:szCs w:val="20"/>
          <w:color w:val="auto"/>
        </w:rPr>
      </w:pPr>
      <w:r>
        <w:rPr>
          <w:rFonts w:ascii="Arial" w:cs="Arial" w:eastAsia="Arial" w:hAnsi="Arial"/>
          <w:sz w:val="16"/>
          <w:szCs w:val="16"/>
          <w:color w:val="auto"/>
        </w:rPr>
        <w:t>By: Bayview Capital GP MSR, LLC, its General Partner</w:t>
      </w:r>
    </w:p>
    <w:p>
      <w:pPr>
        <w:spacing w:after="0" w:line="131"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Bomstein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4445</wp:posOffset>
            </wp:positionV>
            <wp:extent cx="136525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1365250" cy="6350"/>
                    </a:xfrm>
                    <a:prstGeom prst="rect">
                      <a:avLst/>
                    </a:prstGeom>
                    <a:noFill/>
                  </pic:spPr>
                </pic:pic>
              </a:graphicData>
            </a:graphic>
          </wp:anchor>
        </w:drawing>
      </w:r>
    </w:p>
    <w:p>
      <w:pPr>
        <w:ind w:left="2460"/>
        <w:spacing w:after="0"/>
        <w:tabs>
          <w:tab w:leader="none" w:pos="3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Brian Bomstein</w:t>
      </w:r>
    </w:p>
    <w:p>
      <w:pPr>
        <w:ind w:left="2460"/>
        <w:spacing w:after="0"/>
        <w:tabs>
          <w:tab w:leader="none" w:pos="3000" w:val="left"/>
        </w:tabs>
        <w:rPr>
          <w:sz w:val="20"/>
          <w:szCs w:val="20"/>
          <w:color w:val="auto"/>
        </w:rPr>
      </w:pPr>
      <w:r>
        <w:rPr>
          <w:rFonts w:ascii="Arial" w:cs="Arial" w:eastAsia="Arial" w:hAnsi="Arial"/>
          <w:sz w:val="16"/>
          <w:szCs w:val="16"/>
          <w:color w:val="auto"/>
        </w:rPr>
        <w:t>Title:</w:t>
        <w:tab/>
        <w:t>SVP</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IVALO FUND, L.P.</w:t>
      </w:r>
    </w:p>
    <w:p>
      <w:pPr>
        <w:spacing w:after="0"/>
        <w:rPr>
          <w:sz w:val="20"/>
          <w:szCs w:val="20"/>
          <w:color w:val="auto"/>
        </w:rPr>
      </w:pPr>
      <w:r>
        <w:rPr>
          <w:rFonts w:ascii="Arial" w:cs="Arial" w:eastAsia="Arial" w:hAnsi="Arial"/>
          <w:sz w:val="16"/>
          <w:szCs w:val="16"/>
          <w:color w:val="auto"/>
        </w:rPr>
        <w:t>By: Ivalo GP, LLC</w:t>
      </w:r>
    </w:p>
    <w:p>
      <w:pPr>
        <w:spacing w:after="0" w:line="131"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Bomstein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4445</wp:posOffset>
            </wp:positionV>
            <wp:extent cx="13652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1365250" cy="6350"/>
                    </a:xfrm>
                    <a:prstGeom prst="rect">
                      <a:avLst/>
                    </a:prstGeom>
                    <a:noFill/>
                  </pic:spPr>
                </pic:pic>
              </a:graphicData>
            </a:graphic>
          </wp:anchor>
        </w:drawing>
      </w:r>
    </w:p>
    <w:p>
      <w:pPr>
        <w:ind w:left="2460"/>
        <w:spacing w:after="0"/>
        <w:tabs>
          <w:tab w:leader="none" w:pos="3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Brian Bomstein</w:t>
      </w:r>
    </w:p>
    <w:p>
      <w:pPr>
        <w:ind w:left="2460"/>
        <w:spacing w:after="0"/>
        <w:tabs>
          <w:tab w:leader="none" w:pos="3000" w:val="left"/>
        </w:tabs>
        <w:rPr>
          <w:sz w:val="20"/>
          <w:szCs w:val="20"/>
          <w:color w:val="auto"/>
        </w:rPr>
      </w:pPr>
      <w:r>
        <w:rPr>
          <w:rFonts w:ascii="Arial" w:cs="Arial" w:eastAsia="Arial" w:hAnsi="Arial"/>
          <w:sz w:val="16"/>
          <w:szCs w:val="16"/>
          <w:color w:val="auto"/>
        </w:rPr>
        <w:t>Title:</w:t>
        <w:tab/>
        <w:t>SVP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BAYVIEW OPPORTUNITY MASTER FUND VI, L.P.</w:t>
      </w:r>
    </w:p>
    <w:p>
      <w:pPr>
        <w:spacing w:after="0"/>
        <w:rPr>
          <w:sz w:val="20"/>
          <w:szCs w:val="20"/>
          <w:color w:val="auto"/>
        </w:rPr>
      </w:pPr>
      <w:r>
        <w:rPr>
          <w:rFonts w:ascii="Arial" w:cs="Arial" w:eastAsia="Arial" w:hAnsi="Arial"/>
          <w:sz w:val="16"/>
          <w:szCs w:val="16"/>
          <w:color w:val="auto"/>
        </w:rPr>
        <w:t>By: Bayview Capital GP VI, LLC, its General Partner</w:t>
      </w:r>
    </w:p>
    <w:p>
      <w:pPr>
        <w:spacing w:after="0" w:line="131"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Bomstein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4445</wp:posOffset>
            </wp:positionV>
            <wp:extent cx="136525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1365250" cy="6350"/>
                    </a:xfrm>
                    <a:prstGeom prst="rect">
                      <a:avLst/>
                    </a:prstGeom>
                    <a:noFill/>
                  </pic:spPr>
                </pic:pic>
              </a:graphicData>
            </a:graphic>
          </wp:anchor>
        </w:drawing>
      </w:r>
    </w:p>
    <w:p>
      <w:pPr>
        <w:ind w:left="2460"/>
        <w:spacing w:after="0"/>
        <w:tabs>
          <w:tab w:leader="none" w:pos="3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Brian Bomstein</w:t>
      </w:r>
    </w:p>
    <w:p>
      <w:pPr>
        <w:ind w:left="2460"/>
        <w:spacing w:after="0"/>
        <w:tabs>
          <w:tab w:leader="none" w:pos="3000" w:val="left"/>
        </w:tabs>
        <w:rPr>
          <w:sz w:val="20"/>
          <w:szCs w:val="20"/>
          <w:color w:val="auto"/>
        </w:rPr>
      </w:pPr>
      <w:r>
        <w:rPr>
          <w:rFonts w:ascii="Arial" w:cs="Arial" w:eastAsia="Arial" w:hAnsi="Arial"/>
          <w:sz w:val="16"/>
          <w:szCs w:val="16"/>
          <w:color w:val="auto"/>
        </w:rPr>
        <w:t>Title:</w:t>
        <w:tab/>
        <w:t>SVP</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BAYVIEW OPPORTUNITY MASTER FUND VIa, L.P.</w:t>
      </w:r>
    </w:p>
    <w:p>
      <w:pPr>
        <w:spacing w:after="0"/>
        <w:rPr>
          <w:sz w:val="20"/>
          <w:szCs w:val="20"/>
          <w:color w:val="auto"/>
        </w:rPr>
      </w:pPr>
      <w:r>
        <w:rPr>
          <w:rFonts w:ascii="Arial" w:cs="Arial" w:eastAsia="Arial" w:hAnsi="Arial"/>
          <w:sz w:val="16"/>
          <w:szCs w:val="16"/>
          <w:color w:val="auto"/>
        </w:rPr>
        <w:t>By: Bayview Capital GP VIa, LLC, its General Partner</w:t>
      </w:r>
    </w:p>
    <w:p>
      <w:pPr>
        <w:spacing w:after="0" w:line="131"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Bomstein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4445</wp:posOffset>
            </wp:positionV>
            <wp:extent cx="136525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1365250" cy="6350"/>
                    </a:xfrm>
                    <a:prstGeom prst="rect">
                      <a:avLst/>
                    </a:prstGeom>
                    <a:noFill/>
                  </pic:spPr>
                </pic:pic>
              </a:graphicData>
            </a:graphic>
          </wp:anchor>
        </w:drawing>
      </w:r>
    </w:p>
    <w:p>
      <w:pPr>
        <w:ind w:left="2460"/>
        <w:spacing w:after="0"/>
        <w:tabs>
          <w:tab w:leader="none" w:pos="3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Brian Bomstein</w:t>
      </w:r>
    </w:p>
    <w:p>
      <w:pPr>
        <w:ind w:left="2460"/>
        <w:spacing w:after="0"/>
        <w:tabs>
          <w:tab w:leader="none" w:pos="3000" w:val="left"/>
        </w:tabs>
        <w:rPr>
          <w:sz w:val="20"/>
          <w:szCs w:val="20"/>
          <w:color w:val="auto"/>
        </w:rPr>
      </w:pPr>
      <w:r>
        <w:rPr>
          <w:rFonts w:ascii="Arial" w:cs="Arial" w:eastAsia="Arial" w:hAnsi="Arial"/>
          <w:sz w:val="16"/>
          <w:szCs w:val="16"/>
          <w:color w:val="auto"/>
        </w:rPr>
        <w:t>Title:</w:t>
        <w:tab/>
        <w:t>SVP</w:t>
      </w:r>
    </w:p>
    <w:p>
      <w:pPr>
        <w:sectPr>
          <w:pgSz w:w="11900" w:h="16838" w:orient="portrait"/>
          <w:cols w:equalWidth="0" w:num="1">
            <w:col w:w="9499"/>
          </w:cols>
          <w:pgMar w:left="960" w:top="950" w:right="1440" w:bottom="1440" w:gutter="0" w:footer="0" w:header="0"/>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1380" w:type="dxa"/>
            <w:vAlign w:val="bottom"/>
          </w:tcPr>
          <w:p>
            <w:pPr>
              <w:jc w:val="center"/>
              <w:ind w:left="218"/>
              <w:spacing w:after="0"/>
              <w:rPr>
                <w:sz w:val="20"/>
                <w:szCs w:val="20"/>
                <w:color w:val="auto"/>
              </w:rPr>
            </w:pPr>
            <w:r>
              <w:rPr>
                <w:rFonts w:ascii="Arial" w:cs="Arial" w:eastAsia="Arial" w:hAnsi="Arial"/>
                <w:sz w:val="16"/>
                <w:szCs w:val="16"/>
                <w:b w:val="1"/>
                <w:bCs w:val="1"/>
                <w:color w:val="auto"/>
                <w:w w:val="94"/>
              </w:rPr>
              <w:t>Number of</w:t>
            </w:r>
          </w:p>
        </w:tc>
      </w:tr>
      <w:tr>
        <w:trPr>
          <w:trHeight w:val="219"/>
        </w:trPr>
        <w:tc>
          <w:tcPr>
            <w:tcW w:w="1840" w:type="dxa"/>
            <w:vAlign w:val="bottom"/>
          </w:tcPr>
          <w:p>
            <w:pPr>
              <w:ind w:left="240"/>
              <w:spacing w:after="0"/>
              <w:rPr>
                <w:sz w:val="20"/>
                <w:szCs w:val="20"/>
                <w:color w:val="auto"/>
              </w:rPr>
            </w:pPr>
            <w:r>
              <w:rPr>
                <w:rFonts w:ascii="Arial" w:cs="Arial" w:eastAsia="Arial" w:hAnsi="Arial"/>
                <w:sz w:val="16"/>
                <w:szCs w:val="16"/>
                <w:b w:val="1"/>
                <w:bCs w:val="1"/>
                <w:color w:val="auto"/>
              </w:rPr>
              <w:t>Name of Holder</w:t>
            </w:r>
          </w:p>
        </w:tc>
        <w:tc>
          <w:tcPr>
            <w:tcW w:w="1380" w:type="dxa"/>
            <w:vAlign w:val="bottom"/>
          </w:tcPr>
          <w:p>
            <w:pPr>
              <w:jc w:val="center"/>
              <w:ind w:left="218"/>
              <w:spacing w:after="0"/>
              <w:rPr>
                <w:sz w:val="20"/>
                <w:szCs w:val="20"/>
                <w:color w:val="auto"/>
              </w:rPr>
            </w:pPr>
            <w:r>
              <w:rPr>
                <w:rFonts w:ascii="Arial" w:cs="Arial" w:eastAsia="Arial" w:hAnsi="Arial"/>
                <w:sz w:val="16"/>
                <w:szCs w:val="16"/>
                <w:b w:val="1"/>
                <w:bCs w:val="1"/>
                <w:color w:val="auto"/>
                <w:w w:val="92"/>
              </w:rPr>
              <w:t>Shares of Held</w:t>
            </w:r>
          </w:p>
        </w:tc>
      </w:tr>
      <w:tr>
        <w:trPr>
          <w:trHeight w:val="170"/>
        </w:trPr>
        <w:tc>
          <w:tcPr>
            <w:tcW w:w="1840" w:type="dxa"/>
            <w:vAlign w:val="bottom"/>
          </w:tcPr>
          <w:p>
            <w:pPr>
              <w:ind w:left="80"/>
              <w:spacing w:after="0" w:line="171" w:lineRule="exact"/>
              <w:rPr>
                <w:sz w:val="20"/>
                <w:szCs w:val="20"/>
                <w:color w:val="auto"/>
              </w:rPr>
            </w:pPr>
            <w:r>
              <w:rPr>
                <w:rFonts w:ascii="Arial" w:cs="Arial" w:eastAsia="Arial" w:hAnsi="Arial"/>
                <w:sz w:val="16"/>
                <w:szCs w:val="16"/>
                <w:color w:val="auto"/>
              </w:rPr>
              <w:t>Bayview MSR</w:t>
            </w:r>
          </w:p>
        </w:tc>
        <w:tc>
          <w:tcPr>
            <w:tcW w:w="1380" w:type="dxa"/>
            <w:vAlign w:val="bottom"/>
          </w:tcPr>
          <w:p>
            <w:pPr>
              <w:jc w:val="center"/>
              <w:ind w:left="558"/>
              <w:spacing w:after="0" w:line="171" w:lineRule="exact"/>
              <w:rPr>
                <w:sz w:val="20"/>
                <w:szCs w:val="20"/>
                <w:color w:val="auto"/>
              </w:rPr>
            </w:pPr>
            <w:r>
              <w:rPr>
                <w:rFonts w:ascii="Arial" w:cs="Arial" w:eastAsia="Arial" w:hAnsi="Arial"/>
                <w:sz w:val="16"/>
                <w:szCs w:val="16"/>
                <w:color w:val="auto"/>
                <w:w w:val="92"/>
              </w:rPr>
              <w:t>12,184,666</w:t>
            </w:r>
          </w:p>
        </w:tc>
      </w:tr>
      <w:tr>
        <w:trPr>
          <w:trHeight w:val="158"/>
        </w:trPr>
        <w:tc>
          <w:tcPr>
            <w:tcW w:w="1840" w:type="dxa"/>
            <w:vAlign w:val="bottom"/>
          </w:tcPr>
          <w:p>
            <w:pPr>
              <w:ind w:left="80"/>
              <w:spacing w:after="0" w:line="158" w:lineRule="exact"/>
              <w:rPr>
                <w:sz w:val="20"/>
                <w:szCs w:val="20"/>
                <w:color w:val="auto"/>
              </w:rPr>
            </w:pPr>
            <w:r>
              <w:rPr>
                <w:rFonts w:ascii="Arial" w:cs="Arial" w:eastAsia="Arial" w:hAnsi="Arial"/>
                <w:sz w:val="16"/>
                <w:szCs w:val="16"/>
                <w:color w:val="auto"/>
              </w:rPr>
              <w:t>Opportunity Master</w:t>
            </w:r>
          </w:p>
        </w:tc>
        <w:tc>
          <w:tcPr>
            <w:tcW w:w="1380" w:type="dxa"/>
            <w:vAlign w:val="bottom"/>
          </w:tcPr>
          <w:p>
            <w:pPr>
              <w:spacing w:after="0"/>
              <w:rPr>
                <w:sz w:val="13"/>
                <w:szCs w:val="13"/>
                <w:color w:val="auto"/>
              </w:rPr>
            </w:pPr>
          </w:p>
        </w:tc>
      </w:tr>
      <w:tr>
        <w:trPr>
          <w:trHeight w:val="208"/>
        </w:trPr>
        <w:tc>
          <w:tcPr>
            <w:tcW w:w="1840" w:type="dxa"/>
            <w:vAlign w:val="bottom"/>
          </w:tcPr>
          <w:p>
            <w:pPr>
              <w:ind w:left="80"/>
              <w:spacing w:after="0"/>
              <w:rPr>
                <w:sz w:val="20"/>
                <w:szCs w:val="20"/>
                <w:color w:val="auto"/>
              </w:rPr>
            </w:pPr>
            <w:r>
              <w:rPr>
                <w:rFonts w:ascii="Arial" w:cs="Arial" w:eastAsia="Arial" w:hAnsi="Arial"/>
                <w:sz w:val="16"/>
                <w:szCs w:val="16"/>
                <w:color w:val="auto"/>
              </w:rPr>
              <w:t>Fund, L.P.</w:t>
            </w:r>
          </w:p>
        </w:tc>
        <w:tc>
          <w:tcPr>
            <w:tcW w:w="1380" w:type="dxa"/>
            <w:vAlign w:val="bottom"/>
          </w:tcPr>
          <w:p>
            <w:pPr>
              <w:spacing w:after="0"/>
              <w:rPr>
                <w:sz w:val="18"/>
                <w:szCs w:val="18"/>
                <w:color w:val="auto"/>
              </w:rPr>
            </w:pPr>
          </w:p>
        </w:tc>
      </w:tr>
      <w:tr>
        <w:trPr>
          <w:trHeight w:val="339"/>
        </w:trPr>
        <w:tc>
          <w:tcPr>
            <w:tcW w:w="1840" w:type="dxa"/>
            <w:vAlign w:val="bottom"/>
          </w:tcPr>
          <w:p>
            <w:pPr>
              <w:ind w:left="80"/>
              <w:spacing w:after="0"/>
              <w:rPr>
                <w:sz w:val="20"/>
                <w:szCs w:val="20"/>
                <w:color w:val="auto"/>
              </w:rPr>
            </w:pPr>
            <w:r>
              <w:rPr>
                <w:rFonts w:ascii="Arial" w:cs="Arial" w:eastAsia="Arial" w:hAnsi="Arial"/>
                <w:sz w:val="16"/>
                <w:szCs w:val="16"/>
                <w:color w:val="auto"/>
              </w:rPr>
              <w:t>Ivalo Fund, L.P.</w:t>
            </w:r>
          </w:p>
        </w:tc>
        <w:tc>
          <w:tcPr>
            <w:tcW w:w="1380" w:type="dxa"/>
            <w:vAlign w:val="bottom"/>
          </w:tcPr>
          <w:p>
            <w:pPr>
              <w:jc w:val="center"/>
              <w:ind w:left="558"/>
              <w:spacing w:after="0"/>
              <w:rPr>
                <w:sz w:val="20"/>
                <w:szCs w:val="20"/>
                <w:color w:val="auto"/>
              </w:rPr>
            </w:pPr>
            <w:r>
              <w:rPr>
                <w:rFonts w:ascii="Arial" w:cs="Arial" w:eastAsia="Arial" w:hAnsi="Arial"/>
                <w:sz w:val="16"/>
                <w:szCs w:val="16"/>
                <w:color w:val="auto"/>
                <w:w w:val="92"/>
              </w:rPr>
              <w:t>1,046,410</w:t>
            </w:r>
          </w:p>
        </w:tc>
      </w:tr>
      <w:tr>
        <w:trPr>
          <w:trHeight w:val="510"/>
        </w:trPr>
        <w:tc>
          <w:tcPr>
            <w:tcW w:w="1840" w:type="dxa"/>
            <w:vAlign w:val="bottom"/>
          </w:tcPr>
          <w:p>
            <w:pPr>
              <w:ind w:left="80"/>
              <w:spacing w:after="0"/>
              <w:rPr>
                <w:sz w:val="20"/>
                <w:szCs w:val="20"/>
                <w:color w:val="auto"/>
              </w:rPr>
            </w:pPr>
            <w:r>
              <w:rPr>
                <w:rFonts w:ascii="Arial" w:cs="Arial" w:eastAsia="Arial" w:hAnsi="Arial"/>
                <w:sz w:val="16"/>
                <w:szCs w:val="16"/>
                <w:color w:val="auto"/>
              </w:rPr>
              <w:t>Bayview Opportunity</w:t>
            </w:r>
          </w:p>
        </w:tc>
        <w:tc>
          <w:tcPr>
            <w:tcW w:w="1380" w:type="dxa"/>
            <w:vAlign w:val="bottom"/>
          </w:tcPr>
          <w:p>
            <w:pPr>
              <w:jc w:val="center"/>
              <w:ind w:left="538"/>
              <w:spacing w:after="0"/>
              <w:rPr>
                <w:sz w:val="20"/>
                <w:szCs w:val="20"/>
                <w:color w:val="auto"/>
              </w:rPr>
            </w:pPr>
            <w:r>
              <w:rPr>
                <w:rFonts w:ascii="Arial" w:cs="Arial" w:eastAsia="Arial" w:hAnsi="Arial"/>
                <w:sz w:val="16"/>
                <w:szCs w:val="16"/>
                <w:color w:val="auto"/>
                <w:w w:val="89"/>
              </w:rPr>
              <w:t>921,837</w:t>
            </w:r>
          </w:p>
        </w:tc>
      </w:tr>
      <w:tr>
        <w:trPr>
          <w:trHeight w:val="208"/>
        </w:trPr>
        <w:tc>
          <w:tcPr>
            <w:tcW w:w="1840" w:type="dxa"/>
            <w:vAlign w:val="bottom"/>
          </w:tcPr>
          <w:p>
            <w:pPr>
              <w:spacing w:after="0"/>
              <w:rPr>
                <w:sz w:val="20"/>
                <w:szCs w:val="20"/>
                <w:color w:val="auto"/>
              </w:rPr>
            </w:pPr>
            <w:r>
              <w:rPr>
                <w:rFonts w:ascii="Arial" w:cs="Arial" w:eastAsia="Arial" w:hAnsi="Arial"/>
                <w:sz w:val="16"/>
                <w:szCs w:val="16"/>
                <w:color w:val="auto"/>
              </w:rPr>
              <w:t>master Fund, VI, L.P</w:t>
            </w:r>
          </w:p>
        </w:tc>
        <w:tc>
          <w:tcPr>
            <w:tcW w:w="1380" w:type="dxa"/>
            <w:vAlign w:val="bottom"/>
          </w:tcPr>
          <w:p>
            <w:pPr>
              <w:spacing w:after="0"/>
              <w:rPr>
                <w:sz w:val="18"/>
                <w:szCs w:val="18"/>
                <w:color w:val="auto"/>
              </w:rPr>
            </w:pPr>
          </w:p>
        </w:tc>
      </w:tr>
      <w:tr>
        <w:trPr>
          <w:trHeight w:val="547"/>
        </w:trPr>
        <w:tc>
          <w:tcPr>
            <w:tcW w:w="1840" w:type="dxa"/>
            <w:vAlign w:val="bottom"/>
          </w:tcPr>
          <w:p>
            <w:pPr>
              <w:ind w:left="80"/>
              <w:spacing w:after="0"/>
              <w:rPr>
                <w:sz w:val="20"/>
                <w:szCs w:val="20"/>
                <w:color w:val="auto"/>
              </w:rPr>
            </w:pPr>
            <w:r>
              <w:rPr>
                <w:rFonts w:ascii="Arial" w:cs="Arial" w:eastAsia="Arial" w:hAnsi="Arial"/>
                <w:sz w:val="16"/>
                <w:szCs w:val="16"/>
                <w:color w:val="auto"/>
              </w:rPr>
              <w:t>Bayview Opportunity</w:t>
            </w:r>
          </w:p>
        </w:tc>
        <w:tc>
          <w:tcPr>
            <w:tcW w:w="1380" w:type="dxa"/>
            <w:vAlign w:val="bottom"/>
          </w:tcPr>
          <w:p>
            <w:pPr>
              <w:jc w:val="center"/>
              <w:ind w:left="538"/>
              <w:spacing w:after="0"/>
              <w:rPr>
                <w:sz w:val="20"/>
                <w:szCs w:val="20"/>
                <w:color w:val="auto"/>
              </w:rPr>
            </w:pPr>
            <w:r>
              <w:rPr>
                <w:rFonts w:ascii="Arial" w:cs="Arial" w:eastAsia="Arial" w:hAnsi="Arial"/>
                <w:sz w:val="16"/>
                <w:szCs w:val="16"/>
                <w:color w:val="auto"/>
                <w:w w:val="89"/>
              </w:rPr>
              <w:t>502,687</w:t>
            </w:r>
          </w:p>
        </w:tc>
      </w:tr>
      <w:tr>
        <w:trPr>
          <w:trHeight w:val="182"/>
        </w:trPr>
        <w:tc>
          <w:tcPr>
            <w:tcW w:w="1840" w:type="dxa"/>
            <w:vAlign w:val="bottom"/>
          </w:tcPr>
          <w:p>
            <w:pPr>
              <w:ind w:left="80"/>
              <w:spacing w:after="0" w:line="182" w:lineRule="exact"/>
              <w:rPr>
                <w:sz w:val="20"/>
                <w:szCs w:val="20"/>
                <w:color w:val="auto"/>
              </w:rPr>
            </w:pPr>
            <w:r>
              <w:rPr>
                <w:rFonts w:ascii="Arial" w:cs="Arial" w:eastAsia="Arial" w:hAnsi="Arial"/>
                <w:sz w:val="16"/>
                <w:szCs w:val="16"/>
                <w:color w:val="auto"/>
              </w:rPr>
              <w:t>Master Fund, VIa,</w:t>
            </w:r>
          </w:p>
        </w:tc>
        <w:tc>
          <w:tcPr>
            <w:tcW w:w="1380" w:type="dxa"/>
            <w:vAlign w:val="bottom"/>
          </w:tcPr>
          <w:p>
            <w:pPr>
              <w:spacing w:after="0"/>
              <w:rPr>
                <w:sz w:val="15"/>
                <w:szCs w:val="15"/>
                <w:color w:val="auto"/>
              </w:rPr>
            </w:pPr>
          </w:p>
        </w:tc>
      </w:tr>
    </w:tbl>
    <w:p>
      <w:pPr>
        <w:ind w:left="80"/>
        <w:spacing w:after="0"/>
        <w:rPr>
          <w:sz w:val="20"/>
          <w:szCs w:val="20"/>
          <w:color w:val="auto"/>
        </w:rPr>
      </w:pPr>
      <w:r>
        <w:rPr>
          <w:rFonts w:ascii="Arial" w:cs="Arial" w:eastAsia="Arial" w:hAnsi="Arial"/>
          <w:sz w:val="16"/>
          <w:szCs w:val="16"/>
          <w:color w:val="auto"/>
        </w:rPr>
        <w:t>L.P.</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Schedule A</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137160</wp:posOffset>
            </wp:positionV>
            <wp:extent cx="7047865" cy="260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047865" cy="260350"/>
                    </a:xfrm>
                    <a:prstGeom prst="rect">
                      <a:avLst/>
                    </a:prstGeom>
                    <a:noFill/>
                  </pic:spPr>
                </pic:pic>
              </a:graphicData>
            </a:graphic>
          </wp:anchor>
        </w:drawing>
      </w:r>
    </w:p>
    <w:p>
      <w:pPr>
        <w:spacing w:after="0" w:line="391" w:lineRule="exact"/>
        <w:rPr>
          <w:sz w:val="20"/>
          <w:szCs w:val="20"/>
          <w:color w:val="auto"/>
        </w:rPr>
      </w:pPr>
    </w:p>
    <w:p>
      <w:pPr>
        <w:ind w:left="820"/>
        <w:spacing w:after="0"/>
        <w:tabs>
          <w:tab w:leader="none" w:pos="4260" w:val="left"/>
        </w:tabs>
        <w:rPr>
          <w:sz w:val="20"/>
          <w:szCs w:val="20"/>
          <w:color w:val="auto"/>
        </w:rPr>
      </w:pPr>
      <w:r>
        <w:rPr>
          <w:rFonts w:ascii="Arial" w:cs="Arial" w:eastAsia="Arial" w:hAnsi="Arial"/>
          <w:sz w:val="16"/>
          <w:szCs w:val="16"/>
          <w:b w:val="1"/>
          <w:bCs w:val="1"/>
          <w:color w:val="auto"/>
        </w:rPr>
        <w:t>Address of Holder</w:t>
      </w:r>
      <w:r>
        <w:rPr>
          <w:sz w:val="20"/>
          <w:szCs w:val="20"/>
          <w:color w:val="auto"/>
        </w:rPr>
        <w:tab/>
      </w:r>
      <w:r>
        <w:rPr>
          <w:rFonts w:ascii="Arial" w:cs="Arial" w:eastAsia="Arial" w:hAnsi="Arial"/>
          <w:sz w:val="14"/>
          <w:szCs w:val="14"/>
          <w:b w:val="1"/>
          <w:bCs w:val="1"/>
          <w:color w:val="auto"/>
        </w:rPr>
        <w:t>Email Address of Holder</w:t>
      </w:r>
    </w:p>
    <w:p>
      <w:pPr>
        <w:spacing w:after="0" w:line="19"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c/o Bayview Fund Management, LLC 4425</w:t>
      </w:r>
      <w:r>
        <w:rPr>
          <w:sz w:val="20"/>
          <w:szCs w:val="20"/>
          <w:color w:val="auto"/>
        </w:rPr>
        <w:tab/>
      </w:r>
      <w:r>
        <w:rPr>
          <w:rFonts w:ascii="Arial" w:cs="Arial" w:eastAsia="Arial" w:hAnsi="Arial"/>
          <w:sz w:val="13"/>
          <w:szCs w:val="13"/>
          <w:color w:val="auto"/>
        </w:rPr>
        <w:t>brianbomstein@bayview.com</w:t>
      </w:r>
    </w:p>
    <w:p>
      <w:pPr>
        <w:spacing w:after="0" w:line="227" w:lineRule="auto"/>
        <w:rPr>
          <w:sz w:val="20"/>
          <w:szCs w:val="20"/>
          <w:color w:val="auto"/>
        </w:rPr>
      </w:pPr>
      <w:r>
        <w:rPr>
          <w:rFonts w:ascii="Arial" w:cs="Arial" w:eastAsia="Arial" w:hAnsi="Arial"/>
          <w:sz w:val="16"/>
          <w:szCs w:val="16"/>
          <w:color w:val="auto"/>
        </w:rPr>
        <w:t>Ponce de Leon Blvd.</w:t>
      </w:r>
    </w:p>
    <w:p>
      <w:pPr>
        <w:spacing w:after="0"/>
        <w:rPr>
          <w:sz w:val="20"/>
          <w:szCs w:val="20"/>
          <w:color w:val="auto"/>
        </w:rPr>
      </w:pPr>
      <w:r>
        <w:rPr>
          <w:rFonts w:ascii="Arial" w:cs="Arial" w:eastAsia="Arial" w:hAnsi="Arial"/>
          <w:sz w:val="16"/>
          <w:szCs w:val="16"/>
          <w:color w:val="auto"/>
        </w:rPr>
        <w:t>Coral Gables, FL 33146</w:t>
      </w:r>
    </w:p>
    <w:p>
      <w:pPr>
        <w:spacing w:after="0" w:line="114"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c/o Bayview Fund Management, LLC 4425</w:t>
      </w:r>
      <w:r>
        <w:rPr>
          <w:sz w:val="20"/>
          <w:szCs w:val="20"/>
          <w:color w:val="auto"/>
        </w:rPr>
        <w:tab/>
      </w:r>
      <w:r>
        <w:rPr>
          <w:rFonts w:ascii="Arial" w:cs="Arial" w:eastAsia="Arial" w:hAnsi="Arial"/>
          <w:sz w:val="13"/>
          <w:szCs w:val="13"/>
          <w:color w:val="auto"/>
        </w:rPr>
        <w:t>brianbomstein@bayview.com</w:t>
      </w:r>
    </w:p>
    <w:p>
      <w:pPr>
        <w:spacing w:after="0" w:line="227" w:lineRule="auto"/>
        <w:rPr>
          <w:sz w:val="20"/>
          <w:szCs w:val="20"/>
          <w:color w:val="auto"/>
        </w:rPr>
      </w:pPr>
      <w:r>
        <w:rPr>
          <w:rFonts w:ascii="Arial" w:cs="Arial" w:eastAsia="Arial" w:hAnsi="Arial"/>
          <w:sz w:val="16"/>
          <w:szCs w:val="16"/>
          <w:color w:val="auto"/>
        </w:rPr>
        <w:t>Ponce de Leon Blvd.</w:t>
      </w:r>
    </w:p>
    <w:p>
      <w:pPr>
        <w:spacing w:after="0"/>
        <w:rPr>
          <w:sz w:val="20"/>
          <w:szCs w:val="20"/>
          <w:color w:val="auto"/>
        </w:rPr>
      </w:pPr>
      <w:r>
        <w:rPr>
          <w:rFonts w:ascii="Arial" w:cs="Arial" w:eastAsia="Arial" w:hAnsi="Arial"/>
          <w:sz w:val="16"/>
          <w:szCs w:val="16"/>
          <w:color w:val="auto"/>
        </w:rPr>
        <w:t>Coral Gables, FL 33146</w:t>
      </w:r>
    </w:p>
    <w:p>
      <w:pPr>
        <w:spacing w:after="0" w:line="1"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c/o Bayview Fund Management, LLC 4425</w:t>
      </w:r>
      <w:r>
        <w:rPr>
          <w:sz w:val="20"/>
          <w:szCs w:val="20"/>
          <w:color w:val="auto"/>
        </w:rPr>
        <w:tab/>
      </w:r>
      <w:r>
        <w:rPr>
          <w:rFonts w:ascii="Arial" w:cs="Arial" w:eastAsia="Arial" w:hAnsi="Arial"/>
          <w:sz w:val="13"/>
          <w:szCs w:val="13"/>
          <w:color w:val="auto"/>
        </w:rPr>
        <w:t>brianbomstein@bayview.com</w:t>
      </w:r>
    </w:p>
    <w:p>
      <w:pPr>
        <w:spacing w:after="0" w:line="227" w:lineRule="auto"/>
        <w:rPr>
          <w:sz w:val="20"/>
          <w:szCs w:val="20"/>
          <w:color w:val="auto"/>
        </w:rPr>
      </w:pPr>
      <w:r>
        <w:rPr>
          <w:rFonts w:ascii="Arial" w:cs="Arial" w:eastAsia="Arial" w:hAnsi="Arial"/>
          <w:sz w:val="16"/>
          <w:szCs w:val="16"/>
          <w:color w:val="auto"/>
        </w:rPr>
        <w:t>Ponce de Leon Blvd.</w:t>
      </w:r>
    </w:p>
    <w:p>
      <w:pPr>
        <w:spacing w:after="0"/>
        <w:rPr>
          <w:sz w:val="20"/>
          <w:szCs w:val="20"/>
          <w:color w:val="auto"/>
        </w:rPr>
      </w:pPr>
      <w:r>
        <w:rPr>
          <w:rFonts w:ascii="Arial" w:cs="Arial" w:eastAsia="Arial" w:hAnsi="Arial"/>
          <w:sz w:val="16"/>
          <w:szCs w:val="16"/>
          <w:color w:val="auto"/>
        </w:rPr>
        <w:t>Coral Gables, FL 33146</w:t>
      </w:r>
    </w:p>
    <w:p>
      <w:pPr>
        <w:spacing w:after="0" w:line="227"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c/o Bayview Fund Management, LLC 4425</w:t>
      </w:r>
      <w:r>
        <w:rPr>
          <w:sz w:val="20"/>
          <w:szCs w:val="20"/>
          <w:color w:val="auto"/>
        </w:rPr>
        <w:tab/>
      </w:r>
      <w:r>
        <w:rPr>
          <w:rFonts w:ascii="Arial" w:cs="Arial" w:eastAsia="Arial" w:hAnsi="Arial"/>
          <w:sz w:val="13"/>
          <w:szCs w:val="13"/>
          <w:color w:val="auto"/>
        </w:rPr>
        <w:t>brianbomstein@bayview.com</w:t>
      </w:r>
    </w:p>
    <w:p>
      <w:pPr>
        <w:spacing w:after="0" w:line="227" w:lineRule="auto"/>
        <w:rPr>
          <w:sz w:val="20"/>
          <w:szCs w:val="20"/>
          <w:color w:val="auto"/>
        </w:rPr>
      </w:pPr>
      <w:r>
        <w:rPr>
          <w:rFonts w:ascii="Arial" w:cs="Arial" w:eastAsia="Arial" w:hAnsi="Arial"/>
          <w:sz w:val="16"/>
          <w:szCs w:val="16"/>
          <w:color w:val="auto"/>
        </w:rPr>
        <w:t>Ponce de Leon Blvd.</w:t>
      </w:r>
    </w:p>
    <w:p>
      <w:pPr>
        <w:spacing w:after="0"/>
        <w:rPr>
          <w:sz w:val="20"/>
          <w:szCs w:val="20"/>
          <w:color w:val="auto"/>
        </w:rPr>
      </w:pPr>
      <w:r>
        <w:rPr>
          <w:rFonts w:ascii="Arial" w:cs="Arial" w:eastAsia="Arial" w:hAnsi="Arial"/>
          <w:sz w:val="16"/>
          <w:szCs w:val="16"/>
          <w:color w:val="auto"/>
        </w:rPr>
        <w:t>Coral Gables, FL 33146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Sch. A-1</w:t>
      </w:r>
    </w:p>
    <w:p>
      <w:pPr>
        <w:sectPr>
          <w:pgSz w:w="11900" w:h="16838" w:orient="portrait"/>
          <w:cols w:equalWidth="0" w:num="2">
            <w:col w:w="3220" w:space="560"/>
            <w:col w:w="7340"/>
          </w:cols>
          <w:pgMar w:left="380" w:top="950" w:right="399" w:bottom="1440" w:gutter="0" w:footer="0" w:header="0"/>
        </w:sectPr>
      </w:pPr>
    </w:p>
    <w:bookmarkStart w:id="298" w:name="page299"/>
    <w:bookmarkEnd w:id="298"/>
    <w:p>
      <w:pPr>
        <w:jc w:val="right"/>
        <w:spacing w:after="0"/>
        <w:rPr>
          <w:sz w:val="20"/>
          <w:szCs w:val="20"/>
          <w:color w:val="auto"/>
        </w:rPr>
      </w:pPr>
      <w:r>
        <w:rPr>
          <w:rFonts w:ascii="Arial" w:cs="Arial" w:eastAsia="Arial" w:hAnsi="Arial"/>
          <w:sz w:val="14"/>
          <w:szCs w:val="14"/>
          <w:b w:val="1"/>
          <w:bCs w:val="1"/>
          <w:color w:val="auto"/>
        </w:rPr>
        <w:t>Exhibit 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760" w:type="dxa"/>
            <w:vAlign w:val="bottom"/>
            <w:gridSpan w:val="3"/>
          </w:tcPr>
          <w:p>
            <w:pPr>
              <w:ind w:left="240"/>
              <w:spacing w:after="0"/>
              <w:rPr>
                <w:sz w:val="20"/>
                <w:szCs w:val="20"/>
                <w:color w:val="auto"/>
              </w:rPr>
            </w:pPr>
            <w:r>
              <w:rPr>
                <w:rFonts w:ascii="Arial" w:cs="Arial" w:eastAsia="Arial" w:hAnsi="Arial"/>
                <w:sz w:val="14"/>
                <w:szCs w:val="14"/>
                <w:b w:val="1"/>
                <w:bCs w:val="1"/>
                <w:color w:val="auto"/>
              </w:rPr>
              <w:t>Listing of Subsidiaries of Enact Holdings, Inc</w:t>
            </w:r>
          </w:p>
        </w:tc>
      </w:tr>
      <w:tr>
        <w:trPr>
          <w:trHeight w:val="534"/>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9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Domicile</w:t>
            </w:r>
          </w:p>
        </w:tc>
      </w:tr>
      <w:tr>
        <w:trPr>
          <w:trHeight w:val="20"/>
        </w:trPr>
        <w:tc>
          <w:tcPr>
            <w:tcW w:w="3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4"/>
        </w:trPr>
        <w:tc>
          <w:tcPr>
            <w:tcW w:w="3920" w:type="dxa"/>
            <w:vAlign w:val="bottom"/>
            <w:gridSpan w:val="2"/>
          </w:tcPr>
          <w:p>
            <w:pPr>
              <w:spacing w:after="0"/>
              <w:rPr>
                <w:sz w:val="20"/>
                <w:szCs w:val="20"/>
                <w:color w:val="auto"/>
              </w:rPr>
            </w:pPr>
            <w:r>
              <w:rPr>
                <w:rFonts w:ascii="Arial" w:cs="Arial" w:eastAsia="Arial" w:hAnsi="Arial"/>
                <w:sz w:val="14"/>
                <w:szCs w:val="14"/>
                <w:color w:val="auto"/>
              </w:rPr>
              <w:t>Enact Financial Assurance Corporation</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Genworth Financial Services, Inc.</w:t>
            </w:r>
          </w:p>
        </w:tc>
        <w:tc>
          <w:tcPr>
            <w:tcW w:w="6760" w:type="dxa"/>
            <w:vAlign w:val="bottom"/>
            <w:gridSpan w:val="3"/>
          </w:tcPr>
          <w:p>
            <w:pPr>
              <w:jc w:val="center"/>
              <w:ind w:left="5632"/>
              <w:spacing w:after="0"/>
              <w:rPr>
                <w:sz w:val="20"/>
                <w:szCs w:val="20"/>
                <w:color w:val="auto"/>
              </w:rPr>
            </w:pPr>
            <w:r>
              <w:rPr>
                <w:rFonts w:ascii="Arial" w:cs="Arial" w:eastAsia="Arial" w:hAnsi="Arial"/>
                <w:sz w:val="14"/>
                <w:szCs w:val="14"/>
                <w:color w:val="auto"/>
                <w:w w:val="98"/>
              </w:rPr>
              <w:t>Delaware</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Enact Mortgage Holdings, LLC</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Genworth Mortgage Insurance Corporation</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Genworth Mortgage Insurance Corporation of North Carolina</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Enact Mortgage Reinsurance Corporation</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Enact Mortgage Services, LLC</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Monument Lane PCC, Inc.</w:t>
            </w:r>
          </w:p>
        </w:tc>
        <w:tc>
          <w:tcPr>
            <w:tcW w:w="6760" w:type="dxa"/>
            <w:vAlign w:val="bottom"/>
            <w:gridSpan w:val="3"/>
          </w:tcPr>
          <w:p>
            <w:pPr>
              <w:jc w:val="center"/>
              <w:ind w:left="5632"/>
              <w:spacing w:after="0"/>
              <w:rPr>
                <w:sz w:val="20"/>
                <w:szCs w:val="20"/>
                <w:color w:val="auto"/>
              </w:rPr>
            </w:pPr>
            <w:r>
              <w:rPr>
                <w:rFonts w:ascii="Arial" w:cs="Arial" w:eastAsia="Arial" w:hAnsi="Arial"/>
                <w:sz w:val="14"/>
                <w:szCs w:val="14"/>
                <w:color w:val="auto"/>
                <w:w w:val="96"/>
              </w:rPr>
              <w:t>Washington, D.C.</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Monument Lane IC 1, Inc.</w:t>
            </w:r>
          </w:p>
        </w:tc>
        <w:tc>
          <w:tcPr>
            <w:tcW w:w="6760" w:type="dxa"/>
            <w:vAlign w:val="bottom"/>
            <w:gridSpan w:val="3"/>
          </w:tcPr>
          <w:p>
            <w:pPr>
              <w:jc w:val="center"/>
              <w:ind w:left="5632"/>
              <w:spacing w:after="0"/>
              <w:rPr>
                <w:sz w:val="20"/>
                <w:szCs w:val="20"/>
                <w:color w:val="auto"/>
              </w:rPr>
            </w:pPr>
            <w:r>
              <w:rPr>
                <w:rFonts w:ascii="Arial" w:cs="Arial" w:eastAsia="Arial" w:hAnsi="Arial"/>
                <w:sz w:val="14"/>
                <w:szCs w:val="14"/>
                <w:color w:val="auto"/>
                <w:w w:val="96"/>
              </w:rPr>
              <w:t>Washington, D.C.</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Monument Lane IC 2, Inc.</w:t>
            </w:r>
          </w:p>
        </w:tc>
        <w:tc>
          <w:tcPr>
            <w:tcW w:w="6760" w:type="dxa"/>
            <w:vAlign w:val="bottom"/>
            <w:gridSpan w:val="3"/>
          </w:tcPr>
          <w:p>
            <w:pPr>
              <w:jc w:val="center"/>
              <w:ind w:left="5632"/>
              <w:spacing w:after="0"/>
              <w:rPr>
                <w:sz w:val="20"/>
                <w:szCs w:val="20"/>
                <w:color w:val="auto"/>
              </w:rPr>
            </w:pPr>
            <w:r>
              <w:rPr>
                <w:rFonts w:ascii="Arial" w:cs="Arial" w:eastAsia="Arial" w:hAnsi="Arial"/>
                <w:sz w:val="14"/>
                <w:szCs w:val="14"/>
                <w:color w:val="auto"/>
                <w:w w:val="96"/>
              </w:rPr>
              <w:t>Washington, D.C.</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Sponsored Captive Re, Inc.</w:t>
            </w:r>
          </w:p>
        </w:tc>
        <w:tc>
          <w:tcPr>
            <w:tcW w:w="6760" w:type="dxa"/>
            <w:vAlign w:val="bottom"/>
            <w:gridSpan w:val="3"/>
          </w:tcPr>
          <w:p>
            <w:pPr>
              <w:jc w:val="center"/>
              <w:ind w:left="5652"/>
              <w:spacing w:after="0"/>
              <w:rPr>
                <w:sz w:val="20"/>
                <w:szCs w:val="20"/>
                <w:color w:val="auto"/>
              </w:rPr>
            </w:pPr>
            <w:r>
              <w:rPr>
                <w:rFonts w:ascii="Arial" w:cs="Arial" w:eastAsia="Arial" w:hAnsi="Arial"/>
                <w:sz w:val="14"/>
                <w:szCs w:val="14"/>
                <w:color w:val="auto"/>
                <w:w w:val="97"/>
              </w:rPr>
              <w:t>North Carolina</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color w:val="auto"/>
              </w:rPr>
              <w:t>Genworth Financial Mauritius Holdings Limited</w:t>
            </w:r>
          </w:p>
        </w:tc>
        <w:tc>
          <w:tcPr>
            <w:tcW w:w="594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Mauritius</w:t>
            </w:r>
          </w:p>
        </w:tc>
      </w:tr>
    </w:tbl>
    <w:p>
      <w:pPr>
        <w:sectPr>
          <w:pgSz w:w="11900" w:h="16838" w:orient="portrait"/>
          <w:cols w:equalWidth="0" w:num="1">
            <w:col w:w="11260"/>
          </w:cols>
          <w:pgMar w:left="320" w:top="1108" w:right="319" w:bottom="1440" w:gutter="0" w:footer="0" w:header="0"/>
        </w:sectPr>
      </w:pPr>
    </w:p>
    <w:bookmarkStart w:id="299" w:name="page300"/>
    <w:bookmarkEnd w:id="299"/>
    <w:p>
      <w:pPr>
        <w:jc w:val="right"/>
        <w:spacing w:after="0"/>
        <w:rPr>
          <w:sz w:val="20"/>
          <w:szCs w:val="20"/>
          <w:color w:val="auto"/>
        </w:rPr>
      </w:pPr>
      <w:r>
        <w:rPr>
          <w:rFonts w:ascii="Arial" w:cs="Arial" w:eastAsia="Arial" w:hAnsi="Arial"/>
          <w:sz w:val="14"/>
          <w:szCs w:val="14"/>
          <w:b w:val="1"/>
          <w:bCs w:val="1"/>
          <w:color w:val="auto"/>
        </w:rPr>
        <w:t>Exhibit 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4"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We consent to the incorporation by reference in the registration statement (No. 333-259568) on Form S-8 of our report dated February 28, 2022, with respect to the consolidated financial statements and financial statement schedules I to II of Enact Holdings, Inc.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2022</w:t>
      </w:r>
    </w:p>
    <w:p>
      <w:pPr>
        <w:sectPr>
          <w:pgSz w:w="11900" w:h="16838" w:orient="portrait"/>
          <w:cols w:equalWidth="0" w:num="1">
            <w:col w:w="11280"/>
          </w:cols>
          <w:pgMar w:left="300" w:top="1108" w:right="319" w:bottom="1440" w:gutter="0" w:footer="0" w:header="0"/>
        </w:sectPr>
      </w:pPr>
    </w:p>
    <w:bookmarkStart w:id="300" w:name="page301"/>
    <w:bookmarkEnd w:id="300"/>
    <w:p>
      <w:pPr>
        <w:jc w:val="right"/>
        <w:spacing w:after="0"/>
        <w:rPr>
          <w:sz w:val="20"/>
          <w:szCs w:val="20"/>
          <w:color w:val="auto"/>
        </w:rPr>
      </w:pPr>
      <w:r>
        <w:rPr>
          <w:rFonts w:ascii="Arial" w:cs="Arial" w:eastAsia="Arial" w:hAnsi="Arial"/>
          <w:sz w:val="14"/>
          <w:szCs w:val="14"/>
          <w:b w:val="1"/>
          <w:bCs w:val="1"/>
          <w:color w:val="auto"/>
        </w:rPr>
        <w:t>Exhibit 24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94" w:lineRule="exact"/>
        <w:rPr>
          <w:sz w:val="20"/>
          <w:szCs w:val="20"/>
          <w:color w:val="auto"/>
        </w:rPr>
      </w:pPr>
    </w:p>
    <w:p>
      <w:pPr>
        <w:ind w:firstLine="335"/>
        <w:spacing w:after="0" w:line="217" w:lineRule="auto"/>
        <w:rPr>
          <w:sz w:val="20"/>
          <w:szCs w:val="20"/>
          <w:color w:val="auto"/>
        </w:rPr>
      </w:pPr>
      <w:r>
        <w:rPr>
          <w:rFonts w:ascii="Arial" w:cs="Arial" w:eastAsia="Arial" w:hAnsi="Arial"/>
          <w:sz w:val="14"/>
          <w:szCs w:val="14"/>
          <w:color w:val="auto"/>
        </w:rPr>
        <w:t>KNOW ALL PERSONS BY THESE PRESENTS, that each of the undersigned, being a director of Enact Holdings, Inc. (the “Company”), hereby severally constitutes and appoints Rohit Gupta, Dean Mitchell and Evan Stolove, and each of them, individually, as his or her true and lawful attorneys-in-fact and agents, with full power of substitution and resubstitution, for him or her and in his or her name, place and stead, in any and all capacities, to sign the Company’s Annual Report on Form 10-K for the fiscal year ended December 31, 2021, or on such other form as such attorneys-in-fact, or any of them, may deem necessary or desirable and any amendments thereto, in such form as they or any one of them may approve, and to file the same with all exhibits thereto and other documents in connection therewith with the Securities and Exchange Commission, granting unto said attorneys-in-fact and agents, and each of them individually, full power and authority to do and perform each and every act and thing requisite and necessary to be done so that such Annual Report and any such amendments shall comply with the Securities Exchange Act of 1934, as amended, and the applicable Rules and Regulations adopted or issued pursuant thereto, as fully and to all intents and purposes as he might or could do in person, hereby ratifying and confirming all that said attorneys-in-fact and agents, or any of them or their substitute or resubstitute, may lawfully do or cause to be done by virtue hereof.</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164"/>
        </w:trPr>
        <w:tc>
          <w:tcPr>
            <w:tcW w:w="7220" w:type="dxa"/>
            <w:vAlign w:val="bottom"/>
            <w:gridSpan w:val="2"/>
          </w:tcPr>
          <w:p>
            <w:pPr>
              <w:spacing w:after="0"/>
              <w:rPr>
                <w:sz w:val="20"/>
                <w:szCs w:val="20"/>
                <w:color w:val="auto"/>
              </w:rPr>
            </w:pPr>
            <w:r>
              <w:rPr>
                <w:rFonts w:ascii="Arial" w:cs="Arial" w:eastAsia="Arial" w:hAnsi="Arial"/>
                <w:sz w:val="14"/>
                <w:szCs w:val="14"/>
                <w:color w:val="auto"/>
              </w:rPr>
              <w:t>IN WITNESS WHEREOF, each of the undersigned has hereunto set his or her hand on the date indicated below.</w:t>
            </w:r>
          </w:p>
        </w:tc>
        <w:tc>
          <w:tcPr>
            <w:tcW w:w="1540" w:type="dxa"/>
            <w:vAlign w:val="bottom"/>
          </w:tcPr>
          <w:p>
            <w:pPr>
              <w:spacing w:after="0"/>
              <w:rPr>
                <w:sz w:val="14"/>
                <w:szCs w:val="14"/>
                <w:color w:val="auto"/>
              </w:rPr>
            </w:pPr>
          </w:p>
        </w:tc>
      </w:tr>
      <w:tr>
        <w:trPr>
          <w:trHeight w:val="385"/>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7"/>
              </w:rPr>
              <w:t>/s/ DOMINIC ADDESSO</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17,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8"/>
              </w:rPr>
              <w:t>Dominic Addesso</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Non-Executive Chairman of the Board</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5"/>
              </w:rPr>
              <w:t>/s/ DEBRA W. STILL</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23,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7"/>
              </w:rPr>
              <w:t>Debra W. Still</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8"/>
              </w:rPr>
              <w:t>/s/ JOHN D. FISK</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12,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6"/>
              </w:rPr>
              <w:t>John D. Fisk</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6"/>
              </w:rPr>
              <w:t>/s/ SHEILA HOODA</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20,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9"/>
              </w:rPr>
              <w:t>Sheila Hooda</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6"/>
              </w:rPr>
              <w:t>/s/ ROBERT P. RESTREPO JR.</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13, 2022</w:t>
            </w:r>
          </w:p>
        </w:tc>
      </w:tr>
      <w:tr>
        <w:trPr>
          <w:trHeight w:val="133"/>
        </w:trPr>
        <w:tc>
          <w:tcPr>
            <w:tcW w:w="5840" w:type="dxa"/>
            <w:vAlign w:val="bottom"/>
            <w:tcBorders>
              <w:top w:val="single" w:sz="8" w:color="auto"/>
            </w:tcBorders>
          </w:tcPr>
          <w:p>
            <w:pPr>
              <w:jc w:val="center"/>
              <w:ind w:left="392"/>
              <w:spacing w:after="0" w:line="133" w:lineRule="exact"/>
              <w:rPr>
                <w:sz w:val="20"/>
                <w:szCs w:val="20"/>
                <w:color w:val="auto"/>
              </w:rPr>
            </w:pPr>
            <w:r>
              <w:rPr>
                <w:rFonts w:ascii="Arial" w:cs="Arial" w:eastAsia="Arial" w:hAnsi="Arial"/>
                <w:sz w:val="14"/>
                <w:szCs w:val="14"/>
                <w:b w:val="1"/>
                <w:bCs w:val="1"/>
                <w:color w:val="auto"/>
                <w:w w:val="96"/>
              </w:rPr>
              <w:t>Robert P. Restrepo Jr.</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5"/>
              </w:rPr>
              <w:t>/s/ WESTLEY V. THOMPSON</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14,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6"/>
              </w:rPr>
              <w:t>Westley V. Thompson</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8"/>
              </w:rPr>
              <w:t>/s/ ANNE G. WALESKI</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11,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8"/>
              </w:rPr>
              <w:t>Anne G. Waleski</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7"/>
              </w:rPr>
              <w:t>/s/ THOMAS J. MCINERNEY</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15,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8"/>
              </w:rPr>
              <w:t>Thomas J. McInerney</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r>
        <w:trPr>
          <w:trHeight w:val="231"/>
        </w:trPr>
        <w:tc>
          <w:tcPr>
            <w:tcW w:w="7220" w:type="dxa"/>
            <w:vAlign w:val="bottom"/>
            <w:gridSpan w:val="2"/>
          </w:tcPr>
          <w:p>
            <w:pPr>
              <w:jc w:val="center"/>
              <w:ind w:right="900"/>
              <w:spacing w:after="0"/>
              <w:rPr>
                <w:sz w:val="20"/>
                <w:szCs w:val="20"/>
                <w:color w:val="auto"/>
              </w:rPr>
            </w:pPr>
            <w:r>
              <w:rPr>
                <w:rFonts w:ascii="Arial" w:cs="Arial" w:eastAsia="Arial" w:hAnsi="Arial"/>
                <w:sz w:val="14"/>
                <w:szCs w:val="14"/>
                <w:color w:val="auto"/>
                <w:w w:val="97"/>
              </w:rPr>
              <w:t>/s/ DANIEL J. SHEEHAN IV</w:t>
            </w:r>
          </w:p>
        </w:tc>
        <w:tc>
          <w:tcPr>
            <w:tcW w:w="1540" w:type="dxa"/>
            <w:vAlign w:val="bottom"/>
          </w:tcPr>
          <w:p>
            <w:pPr>
              <w:ind w:left="420"/>
              <w:spacing w:after="0"/>
              <w:rPr>
                <w:sz w:val="20"/>
                <w:szCs w:val="20"/>
                <w:color w:val="auto"/>
              </w:rPr>
            </w:pPr>
            <w:r>
              <w:rPr>
                <w:rFonts w:ascii="Arial" w:cs="Arial" w:eastAsia="Arial" w:hAnsi="Arial"/>
                <w:sz w:val="14"/>
                <w:szCs w:val="14"/>
                <w:color w:val="auto"/>
                <w:w w:val="96"/>
              </w:rPr>
              <w:t>February 14, 2022</w:t>
            </w:r>
          </w:p>
        </w:tc>
      </w:tr>
      <w:tr>
        <w:trPr>
          <w:trHeight w:val="133"/>
        </w:trPr>
        <w:tc>
          <w:tcPr>
            <w:tcW w:w="5840" w:type="dxa"/>
            <w:vAlign w:val="bottom"/>
            <w:tcBorders>
              <w:top w:val="single" w:sz="8" w:color="auto"/>
            </w:tcBorders>
          </w:tcPr>
          <w:p>
            <w:pPr>
              <w:jc w:val="center"/>
              <w:ind w:left="412"/>
              <w:spacing w:after="0" w:line="133" w:lineRule="exact"/>
              <w:rPr>
                <w:sz w:val="20"/>
                <w:szCs w:val="20"/>
                <w:color w:val="auto"/>
              </w:rPr>
            </w:pPr>
            <w:r>
              <w:rPr>
                <w:rFonts w:ascii="Arial" w:cs="Arial" w:eastAsia="Arial" w:hAnsi="Arial"/>
                <w:sz w:val="14"/>
                <w:szCs w:val="14"/>
                <w:b w:val="1"/>
                <w:bCs w:val="1"/>
                <w:color w:val="auto"/>
                <w:w w:val="96"/>
              </w:rPr>
              <w:t>Daniel J. Sheehan IV</w:t>
            </w:r>
          </w:p>
        </w:tc>
        <w:tc>
          <w:tcPr>
            <w:tcW w:w="13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80"/>
        </w:trPr>
        <w:tc>
          <w:tcPr>
            <w:tcW w:w="7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6"/>
              </w:rPr>
              <w:t>Director</w:t>
            </w:r>
          </w:p>
        </w:tc>
        <w:tc>
          <w:tcPr>
            <w:tcW w:w="1540" w:type="dxa"/>
            <w:vAlign w:val="bottom"/>
          </w:tcPr>
          <w:p>
            <w:pPr>
              <w:spacing w:after="0"/>
              <w:rPr>
                <w:sz w:val="15"/>
                <w:szCs w:val="15"/>
                <w:color w:val="auto"/>
              </w:rPr>
            </w:pPr>
          </w:p>
        </w:tc>
      </w:tr>
    </w:tbl>
    <w:p>
      <w:pPr>
        <w:sectPr>
          <w:pgSz w:w="11900" w:h="16838" w:orient="portrait"/>
          <w:cols w:equalWidth="0" w:num="1">
            <w:col w:w="11280"/>
          </w:cols>
          <w:pgMar w:left="300" w:top="677" w:right="319" w:bottom="1440" w:gutter="0" w:footer="0" w:header="0"/>
        </w:sectPr>
      </w:pPr>
    </w:p>
    <w:bookmarkStart w:id="301" w:name="page302"/>
    <w:bookmarkEnd w:id="301"/>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126"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CERTIFICATION OF PRINCIPAL EXECUTIVE OFFICER PURSUANT TO SECTION 302 OF THE SARBANES-OXLEY ACT OF 2002</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 Rohit Gupta, certify that:</w:t>
      </w:r>
    </w:p>
    <w:p>
      <w:pPr>
        <w:spacing w:after="0" w:line="129" w:lineRule="exact"/>
        <w:rPr>
          <w:sz w:val="20"/>
          <w:szCs w:val="20"/>
          <w:color w:val="auto"/>
        </w:rPr>
      </w:pPr>
    </w:p>
    <w:p>
      <w:pPr>
        <w:ind w:left="740" w:hanging="246"/>
        <w:spacing w:after="0"/>
        <w:tabs>
          <w:tab w:leader="none" w:pos="7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Enact Holdings, Inc.;</w:t>
      </w:r>
    </w:p>
    <w:p>
      <w:pPr>
        <w:spacing w:after="0" w:line="128" w:lineRule="exact"/>
        <w:rPr>
          <w:rFonts w:ascii="Arial" w:cs="Arial" w:eastAsia="Arial" w:hAnsi="Arial"/>
          <w:sz w:val="12"/>
          <w:szCs w:val="12"/>
          <w:color w:val="auto"/>
        </w:rPr>
      </w:pPr>
    </w:p>
    <w:p>
      <w:pPr>
        <w:ind w:left="740" w:hanging="246"/>
        <w:spacing w:after="0" w:line="266" w:lineRule="auto"/>
        <w:tabs>
          <w:tab w:leader="none" w:pos="7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2"/>
          <w:szCs w:val="12"/>
          <w:color w:val="auto"/>
        </w:rPr>
      </w:pPr>
    </w:p>
    <w:p>
      <w:pPr>
        <w:ind w:left="740" w:hanging="246"/>
        <w:spacing w:after="0" w:line="266" w:lineRule="auto"/>
        <w:tabs>
          <w:tab w:leader="none" w:pos="7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2"/>
          <w:szCs w:val="12"/>
          <w:color w:val="auto"/>
        </w:rPr>
      </w:pPr>
    </w:p>
    <w:p>
      <w:pPr>
        <w:ind w:left="740" w:hanging="246"/>
        <w:spacing w:after="0" w:line="266" w:lineRule="auto"/>
        <w:tabs>
          <w:tab w:leader="none" w:pos="7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for the registrant and have:</w:t>
      </w:r>
    </w:p>
    <w:p>
      <w:pPr>
        <w:spacing w:after="0" w:line="104" w:lineRule="exact"/>
        <w:rPr>
          <w:rFonts w:ascii="Arial" w:cs="Arial" w:eastAsia="Arial" w:hAnsi="Arial"/>
          <w:sz w:val="12"/>
          <w:szCs w:val="12"/>
          <w:color w:val="auto"/>
        </w:rPr>
      </w:pPr>
    </w:p>
    <w:p>
      <w:pPr>
        <w:ind w:left="980" w:hanging="239"/>
        <w:spacing w:after="0" w:line="266" w:lineRule="auto"/>
        <w:tabs>
          <w:tab w:leader="none" w:pos="98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2"/>
          <w:szCs w:val="12"/>
          <w:color w:val="auto"/>
        </w:rPr>
      </w:pPr>
    </w:p>
    <w:p>
      <w:pPr>
        <w:ind w:left="980" w:hanging="239"/>
        <w:spacing w:after="0"/>
        <w:tabs>
          <w:tab w:leader="none" w:pos="98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[Omitted];</w:t>
      </w:r>
    </w:p>
    <w:p>
      <w:pPr>
        <w:spacing w:after="0" w:line="128" w:lineRule="exact"/>
        <w:rPr>
          <w:rFonts w:ascii="Arial" w:cs="Arial" w:eastAsia="Arial" w:hAnsi="Arial"/>
          <w:sz w:val="12"/>
          <w:szCs w:val="12"/>
          <w:color w:val="auto"/>
        </w:rPr>
      </w:pPr>
    </w:p>
    <w:p>
      <w:pPr>
        <w:ind w:left="980" w:hanging="239"/>
        <w:spacing w:after="0" w:line="266" w:lineRule="auto"/>
        <w:tabs>
          <w:tab w:leader="none" w:pos="973" w:val="left"/>
        </w:tabs>
        <w:numPr>
          <w:ilvl w:val="1"/>
          <w:numId w:val="20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2"/>
          <w:szCs w:val="12"/>
          <w:color w:val="auto"/>
        </w:rPr>
      </w:pPr>
    </w:p>
    <w:p>
      <w:pPr>
        <w:ind w:left="980" w:hanging="239"/>
        <w:spacing w:after="0" w:line="266" w:lineRule="auto"/>
        <w:tabs>
          <w:tab w:leader="none" w:pos="98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2"/>
          <w:szCs w:val="12"/>
          <w:color w:val="auto"/>
        </w:rPr>
      </w:pPr>
    </w:p>
    <w:p>
      <w:pPr>
        <w:ind w:left="740" w:hanging="246"/>
        <w:spacing w:after="0" w:line="266" w:lineRule="auto"/>
        <w:tabs>
          <w:tab w:leader="none" w:pos="7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2"/>
          <w:szCs w:val="12"/>
          <w:color w:val="auto"/>
        </w:rPr>
      </w:pPr>
    </w:p>
    <w:p>
      <w:pPr>
        <w:ind w:left="980" w:hanging="239"/>
        <w:spacing w:after="0" w:line="266" w:lineRule="auto"/>
        <w:tabs>
          <w:tab w:leader="none" w:pos="98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2"/>
          <w:szCs w:val="12"/>
          <w:color w:val="auto"/>
        </w:rPr>
      </w:pPr>
    </w:p>
    <w:p>
      <w:pPr>
        <w:ind w:left="980" w:hanging="239"/>
        <w:spacing w:after="0"/>
        <w:tabs>
          <w:tab w:leader="none" w:pos="98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28, 2022</w:t>
      </w:r>
    </w:p>
    <w:p>
      <w:pPr>
        <w:spacing w:after="0" w:line="159" w:lineRule="exact"/>
        <w:rPr>
          <w:sz w:val="20"/>
          <w:szCs w:val="20"/>
          <w:color w:val="auto"/>
        </w:rPr>
      </w:pPr>
    </w:p>
    <w:p>
      <w:pPr>
        <w:ind w:left="500"/>
        <w:spacing w:after="0"/>
        <w:tabs>
          <w:tab w:leader="none" w:pos="31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8890</wp:posOffset>
            </wp:positionV>
            <wp:extent cx="289242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2892425" cy="6350"/>
                    </a:xfrm>
                    <a:prstGeom prst="rect">
                      <a:avLst/>
                    </a:prstGeom>
                    <a:noFill/>
                  </pic:spPr>
                </pic:pic>
              </a:graphicData>
            </a:graphic>
          </wp:anchor>
        </w:drawing>
      </w:r>
    </w:p>
    <w:p>
      <w:pPr>
        <w:spacing w:after="0" w:line="2" w:lineRule="exact"/>
        <w:rPr>
          <w:sz w:val="20"/>
          <w:szCs w:val="20"/>
          <w:color w:val="auto"/>
        </w:rPr>
      </w:pPr>
    </w:p>
    <w:p>
      <w:pPr>
        <w:jc w:val="center"/>
        <w:ind w:right="4180"/>
        <w:spacing w:after="0"/>
        <w:rPr>
          <w:sz w:val="20"/>
          <w:szCs w:val="20"/>
          <w:color w:val="auto"/>
        </w:rPr>
      </w:pPr>
      <w:r>
        <w:rPr>
          <w:rFonts w:ascii="Arial" w:cs="Arial" w:eastAsia="Arial" w:hAnsi="Arial"/>
          <w:sz w:val="12"/>
          <w:szCs w:val="12"/>
          <w:b w:val="1"/>
          <w:bCs w:val="1"/>
          <w:color w:val="auto"/>
        </w:rPr>
        <w:t>Rohit Gupta</w:t>
      </w:r>
    </w:p>
    <w:p>
      <w:pPr>
        <w:spacing w:after="0" w:line="26" w:lineRule="exact"/>
        <w:rPr>
          <w:sz w:val="20"/>
          <w:szCs w:val="20"/>
          <w:color w:val="auto"/>
        </w:rPr>
      </w:pPr>
    </w:p>
    <w:p>
      <w:pPr>
        <w:jc w:val="center"/>
        <w:ind w:right="4180"/>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26" w:lineRule="exact"/>
        <w:rPr>
          <w:sz w:val="20"/>
          <w:szCs w:val="20"/>
          <w:color w:val="auto"/>
        </w:rPr>
      </w:pPr>
    </w:p>
    <w:p>
      <w:pPr>
        <w:jc w:val="center"/>
        <w:ind w:right="4180"/>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11280"/>
          </w:cols>
          <w:pgMar w:left="300" w:top="1440" w:right="319" w:bottom="1440" w:gutter="0" w:footer="0" w:header="0"/>
        </w:sectPr>
      </w:pPr>
    </w:p>
    <w:bookmarkStart w:id="302" w:name="page303"/>
    <w:bookmarkEnd w:id="302"/>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CERTIFICATION OF PRINCIPAL FINANCIAL OFFICER PURSUANT TO SECTION 302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I, Hardin Dean Mitchell, certify that:</w:t>
      </w:r>
    </w:p>
    <w:p>
      <w:pPr>
        <w:spacing w:after="0" w:line="129" w:lineRule="exact"/>
        <w:rPr>
          <w:sz w:val="20"/>
          <w:szCs w:val="20"/>
          <w:color w:val="auto"/>
        </w:rPr>
      </w:pPr>
    </w:p>
    <w:p>
      <w:pPr>
        <w:ind w:left="500" w:hanging="246"/>
        <w:spacing w:after="0"/>
        <w:tabs>
          <w:tab w:leader="none" w:pos="50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Enact Holdings, Inc.;</w:t>
      </w:r>
    </w:p>
    <w:p>
      <w:pPr>
        <w:spacing w:after="0" w:line="128" w:lineRule="exact"/>
        <w:rPr>
          <w:rFonts w:ascii="Arial" w:cs="Arial" w:eastAsia="Arial" w:hAnsi="Arial"/>
          <w:sz w:val="12"/>
          <w:szCs w:val="12"/>
          <w:color w:val="auto"/>
        </w:rPr>
      </w:pPr>
    </w:p>
    <w:p>
      <w:pPr>
        <w:ind w:left="500" w:hanging="246"/>
        <w:spacing w:after="0" w:line="266" w:lineRule="auto"/>
        <w:tabs>
          <w:tab w:leader="none" w:pos="50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2"/>
          <w:szCs w:val="12"/>
          <w:color w:val="auto"/>
        </w:rPr>
      </w:pPr>
    </w:p>
    <w:p>
      <w:pPr>
        <w:ind w:left="500" w:hanging="246"/>
        <w:spacing w:after="0" w:line="266" w:lineRule="auto"/>
        <w:tabs>
          <w:tab w:leader="none" w:pos="50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2"/>
          <w:szCs w:val="12"/>
          <w:color w:val="auto"/>
        </w:rPr>
      </w:pPr>
    </w:p>
    <w:p>
      <w:pPr>
        <w:ind w:left="500" w:hanging="246"/>
        <w:spacing w:after="0" w:line="266" w:lineRule="auto"/>
        <w:tabs>
          <w:tab w:leader="none" w:pos="50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for the registrant and have:</w:t>
      </w:r>
    </w:p>
    <w:p>
      <w:pPr>
        <w:spacing w:after="0" w:line="104" w:lineRule="exact"/>
        <w:rPr>
          <w:rFonts w:ascii="Arial" w:cs="Arial" w:eastAsia="Arial" w:hAnsi="Arial"/>
          <w:sz w:val="12"/>
          <w:szCs w:val="12"/>
          <w:color w:val="auto"/>
        </w:rPr>
      </w:pPr>
    </w:p>
    <w:p>
      <w:pPr>
        <w:ind w:left="740" w:hanging="239"/>
        <w:spacing w:after="0" w:line="266" w:lineRule="auto"/>
        <w:tabs>
          <w:tab w:leader="none" w:pos="74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2"/>
          <w:szCs w:val="12"/>
          <w:color w:val="auto"/>
        </w:rPr>
      </w:pPr>
    </w:p>
    <w:p>
      <w:pPr>
        <w:ind w:left="740" w:hanging="239"/>
        <w:spacing w:after="0"/>
        <w:tabs>
          <w:tab w:leader="none" w:pos="74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[Omitted];</w:t>
      </w:r>
    </w:p>
    <w:p>
      <w:pPr>
        <w:spacing w:after="0" w:line="128" w:lineRule="exact"/>
        <w:rPr>
          <w:rFonts w:ascii="Arial" w:cs="Arial" w:eastAsia="Arial" w:hAnsi="Arial"/>
          <w:sz w:val="12"/>
          <w:szCs w:val="12"/>
          <w:color w:val="auto"/>
        </w:rPr>
      </w:pPr>
    </w:p>
    <w:p>
      <w:pPr>
        <w:ind w:left="740" w:hanging="239"/>
        <w:spacing w:after="0" w:line="266" w:lineRule="auto"/>
        <w:tabs>
          <w:tab w:leader="none" w:pos="733" w:val="left"/>
        </w:tabs>
        <w:numPr>
          <w:ilvl w:val="1"/>
          <w:numId w:val="20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2"/>
          <w:szCs w:val="12"/>
          <w:color w:val="auto"/>
        </w:rPr>
      </w:pPr>
    </w:p>
    <w:p>
      <w:pPr>
        <w:ind w:left="740" w:hanging="239"/>
        <w:spacing w:after="0" w:line="266" w:lineRule="auto"/>
        <w:tabs>
          <w:tab w:leader="none" w:pos="74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2"/>
          <w:szCs w:val="12"/>
          <w:color w:val="auto"/>
        </w:rPr>
      </w:pPr>
    </w:p>
    <w:p>
      <w:pPr>
        <w:ind w:left="500" w:hanging="246"/>
        <w:spacing w:after="0" w:line="266" w:lineRule="auto"/>
        <w:tabs>
          <w:tab w:leader="none" w:pos="50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2"/>
          <w:szCs w:val="12"/>
          <w:color w:val="auto"/>
        </w:rPr>
      </w:pPr>
    </w:p>
    <w:p>
      <w:pPr>
        <w:ind w:left="740" w:hanging="239"/>
        <w:spacing w:after="0" w:line="266" w:lineRule="auto"/>
        <w:tabs>
          <w:tab w:leader="none" w:pos="74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2"/>
          <w:szCs w:val="12"/>
          <w:color w:val="auto"/>
        </w:rPr>
      </w:pPr>
    </w:p>
    <w:p>
      <w:pPr>
        <w:ind w:left="740" w:hanging="239"/>
        <w:spacing w:after="0"/>
        <w:tabs>
          <w:tab w:leader="none" w:pos="74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28, 2022</w:t>
      </w:r>
    </w:p>
    <w:p>
      <w:pPr>
        <w:spacing w:after="0" w:line="159" w:lineRule="exact"/>
        <w:rPr>
          <w:sz w:val="20"/>
          <w:szCs w:val="20"/>
          <w:color w:val="auto"/>
        </w:rPr>
      </w:pPr>
    </w:p>
    <w:p>
      <w:pPr>
        <w:ind w:left="920"/>
        <w:spacing w:after="0"/>
        <w:tabs>
          <w:tab w:leader="none" w:pos="32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Hardin Dean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8890</wp:posOffset>
            </wp:positionV>
            <wp:extent cx="289242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2892425" cy="6350"/>
                    </a:xfrm>
                    <a:prstGeom prst="rect">
                      <a:avLst/>
                    </a:prstGeom>
                    <a:noFill/>
                  </pic:spPr>
                </pic:pic>
              </a:graphicData>
            </a:graphic>
          </wp:anchor>
        </w:drawing>
      </w:r>
    </w:p>
    <w:p>
      <w:pPr>
        <w:spacing w:after="0" w:line="2" w:lineRule="exact"/>
        <w:rPr>
          <w:sz w:val="20"/>
          <w:szCs w:val="20"/>
          <w:color w:val="auto"/>
        </w:rPr>
      </w:pPr>
    </w:p>
    <w:p>
      <w:pPr>
        <w:jc w:val="center"/>
        <w:ind w:right="3140"/>
        <w:spacing w:after="0"/>
        <w:rPr>
          <w:sz w:val="20"/>
          <w:szCs w:val="20"/>
          <w:color w:val="auto"/>
        </w:rPr>
      </w:pPr>
      <w:r>
        <w:rPr>
          <w:rFonts w:ascii="Arial" w:cs="Arial" w:eastAsia="Arial" w:hAnsi="Arial"/>
          <w:sz w:val="12"/>
          <w:szCs w:val="12"/>
          <w:b w:val="1"/>
          <w:bCs w:val="1"/>
          <w:color w:val="auto"/>
        </w:rPr>
        <w:t>Hardin Dean Mitchell</w:t>
      </w:r>
    </w:p>
    <w:p>
      <w:pPr>
        <w:spacing w:after="0" w:line="26" w:lineRule="exact"/>
        <w:rPr>
          <w:sz w:val="20"/>
          <w:szCs w:val="20"/>
          <w:color w:val="auto"/>
        </w:rPr>
      </w:pPr>
    </w:p>
    <w:p>
      <w:pPr>
        <w:jc w:val="center"/>
        <w:ind w:right="3140"/>
        <w:spacing w:after="0"/>
        <w:rPr>
          <w:sz w:val="20"/>
          <w:szCs w:val="20"/>
          <w:color w:val="auto"/>
        </w:rPr>
      </w:pPr>
      <w:r>
        <w:rPr>
          <w:rFonts w:ascii="Arial" w:cs="Arial" w:eastAsia="Arial" w:hAnsi="Arial"/>
          <w:sz w:val="12"/>
          <w:szCs w:val="12"/>
          <w:b w:val="1"/>
          <w:bCs w:val="1"/>
          <w:color w:val="auto"/>
        </w:rPr>
        <w:t>Executive Vice President, Chief Financial Officer and Treasurer</w:t>
      </w:r>
    </w:p>
    <w:p>
      <w:pPr>
        <w:spacing w:after="0" w:line="26" w:lineRule="exact"/>
        <w:rPr>
          <w:sz w:val="20"/>
          <w:szCs w:val="20"/>
          <w:color w:val="auto"/>
        </w:rPr>
      </w:pPr>
    </w:p>
    <w:p>
      <w:pPr>
        <w:jc w:val="center"/>
        <w:ind w:right="3140"/>
        <w:spacing w:after="0"/>
        <w:rPr>
          <w:sz w:val="20"/>
          <w:szCs w:val="20"/>
          <w:color w:val="auto"/>
        </w:rPr>
      </w:pPr>
      <w:r>
        <w:rPr>
          <w:rFonts w:ascii="Arial" w:cs="Arial" w:eastAsia="Arial" w:hAnsi="Arial"/>
          <w:sz w:val="12"/>
          <w:szCs w:val="12"/>
          <w:b w:val="1"/>
          <w:bCs w:val="1"/>
          <w:color w:val="auto"/>
        </w:rPr>
        <w:t>(Principal Financial Officer)</w:t>
      </w:r>
    </w:p>
    <w:p>
      <w:pPr>
        <w:sectPr>
          <w:pgSz w:w="11900" w:h="16838" w:orient="portrait"/>
          <w:cols w:equalWidth="0" w:num="1">
            <w:col w:w="11040"/>
          </w:cols>
          <w:pgMar w:left="540" w:top="1440" w:right="319" w:bottom="1440" w:gutter="0" w:footer="0" w:header="0"/>
        </w:sectPr>
      </w:pPr>
    </w:p>
    <w:bookmarkStart w:id="303" w:name="page304"/>
    <w:bookmarkEnd w:id="303"/>
    <w:p>
      <w:pPr>
        <w:ind w:left="10520"/>
        <w:spacing w:after="0"/>
        <w:rPr>
          <w:sz w:val="20"/>
          <w:szCs w:val="20"/>
          <w:color w:val="auto"/>
        </w:rPr>
      </w:pPr>
      <w:r>
        <w:rPr>
          <w:rFonts w:ascii="Arial" w:cs="Arial" w:eastAsia="Arial" w:hAnsi="Arial"/>
          <w:sz w:val="13"/>
          <w:szCs w:val="13"/>
          <w:b w:val="1"/>
          <w:bCs w:val="1"/>
          <w:color w:val="auto"/>
        </w:rPr>
        <w:t>Exhibit 32.1</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CERTIFICATION OF PRINCIPAL EXECUTIVE OFFICER PURSUANT TO 18 U.S.C. 1350, AS ADOPTED PURSUANT TO SECTION 906 OF THE SARBANES-OXLEY ACT OF 2002</w:t>
      </w:r>
    </w:p>
    <w:p>
      <w:pPr>
        <w:spacing w:after="0" w:line="156" w:lineRule="exact"/>
        <w:rPr>
          <w:sz w:val="20"/>
          <w:szCs w:val="20"/>
          <w:color w:val="auto"/>
        </w:rPr>
      </w:pPr>
    </w:p>
    <w:p>
      <w:pPr>
        <w:ind w:firstLine="246"/>
        <w:spacing w:after="0" w:line="266" w:lineRule="auto"/>
        <w:rPr>
          <w:sz w:val="20"/>
          <w:szCs w:val="20"/>
          <w:color w:val="auto"/>
        </w:rPr>
      </w:pPr>
      <w:r>
        <w:rPr>
          <w:rFonts w:ascii="Arial" w:cs="Arial" w:eastAsia="Arial" w:hAnsi="Arial"/>
          <w:sz w:val="12"/>
          <w:szCs w:val="12"/>
          <w:color w:val="auto"/>
        </w:rPr>
        <w:t>I, Rohit Gupta, as President and Chief Executive Officer of Enact Holdings, Inc. (the “Company”), certify, pursuant to 18 U.S.C. Section 1350 (as adopted pursuant to Section 906 of the Sarbanes-Oxley Act of 2002), that to my knowledge:</w:t>
      </w:r>
    </w:p>
    <w:p>
      <w:pPr>
        <w:spacing w:after="0" w:line="104" w:lineRule="exact"/>
        <w:rPr>
          <w:sz w:val="20"/>
          <w:szCs w:val="20"/>
          <w:color w:val="auto"/>
        </w:rPr>
      </w:pPr>
    </w:p>
    <w:p>
      <w:pPr>
        <w:ind w:left="740" w:hanging="246"/>
        <w:spacing w:after="0" w:line="266" w:lineRule="auto"/>
        <w:tabs>
          <w:tab w:leader="none" w:pos="74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accompanying Annual Report on Form 10-K of the Company for the year ended December 31, 2021 (the “Report”), filed with the U.S. Securities and Exchange Commission, fully complies with the requirements of Section 13(a) or 15(d) of the Securities Exchange Act of 1934, as amended; and</w:t>
      </w:r>
    </w:p>
    <w:p>
      <w:pPr>
        <w:spacing w:after="0" w:line="104" w:lineRule="exact"/>
        <w:rPr>
          <w:rFonts w:ascii="Arial" w:cs="Arial" w:eastAsia="Arial" w:hAnsi="Arial"/>
          <w:sz w:val="12"/>
          <w:szCs w:val="12"/>
          <w:color w:val="auto"/>
        </w:rPr>
      </w:pPr>
    </w:p>
    <w:p>
      <w:pPr>
        <w:ind w:left="740" w:hanging="246"/>
        <w:spacing w:after="0"/>
        <w:tabs>
          <w:tab w:leader="none" w:pos="74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28, 2022</w:t>
      </w:r>
    </w:p>
    <w:p>
      <w:pPr>
        <w:spacing w:after="0" w:line="159" w:lineRule="exact"/>
        <w:rPr>
          <w:sz w:val="20"/>
          <w:szCs w:val="20"/>
          <w:color w:val="auto"/>
        </w:rPr>
      </w:pPr>
    </w:p>
    <w:p>
      <w:pPr>
        <w:ind w:left="1300"/>
        <w:spacing w:after="0"/>
        <w:tabs>
          <w:tab w:leader="none" w:pos="3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8890</wp:posOffset>
            </wp:positionV>
            <wp:extent cx="289242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2892425" cy="6350"/>
                    </a:xfrm>
                    <a:prstGeom prst="rect">
                      <a:avLst/>
                    </a:prstGeom>
                    <a:noFill/>
                  </pic:spPr>
                </pic:pic>
              </a:graphicData>
            </a:graphic>
          </wp:anchor>
        </w:drawing>
      </w:r>
    </w:p>
    <w:p>
      <w:pPr>
        <w:spacing w:after="0" w:line="2" w:lineRule="exact"/>
        <w:rPr>
          <w:sz w:val="20"/>
          <w:szCs w:val="20"/>
          <w:color w:val="auto"/>
        </w:rPr>
      </w:pPr>
    </w:p>
    <w:p>
      <w:pPr>
        <w:jc w:val="center"/>
        <w:ind w:right="2580"/>
        <w:spacing w:after="0"/>
        <w:rPr>
          <w:sz w:val="20"/>
          <w:szCs w:val="20"/>
          <w:color w:val="auto"/>
        </w:rPr>
      </w:pPr>
      <w:r>
        <w:rPr>
          <w:rFonts w:ascii="Arial" w:cs="Arial" w:eastAsia="Arial" w:hAnsi="Arial"/>
          <w:sz w:val="12"/>
          <w:szCs w:val="12"/>
          <w:b w:val="1"/>
          <w:bCs w:val="1"/>
          <w:color w:val="auto"/>
        </w:rPr>
        <w:t>Rohit Gupta</w:t>
      </w:r>
    </w:p>
    <w:p>
      <w:pPr>
        <w:spacing w:after="0" w:line="26" w:lineRule="exact"/>
        <w:rPr>
          <w:sz w:val="20"/>
          <w:szCs w:val="20"/>
          <w:color w:val="auto"/>
        </w:rPr>
      </w:pPr>
    </w:p>
    <w:p>
      <w:pPr>
        <w:jc w:val="center"/>
        <w:ind w:right="2580"/>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26" w:lineRule="exact"/>
        <w:rPr>
          <w:sz w:val="20"/>
          <w:szCs w:val="20"/>
          <w:color w:val="auto"/>
        </w:rPr>
      </w:pPr>
    </w:p>
    <w:p>
      <w:pPr>
        <w:jc w:val="center"/>
        <w:ind w:right="2580"/>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11280"/>
          </w:cols>
          <w:pgMar w:left="300" w:top="1231" w:right="319" w:bottom="1440" w:gutter="0" w:footer="0" w:header="0"/>
        </w:sectPr>
      </w:pPr>
    </w:p>
    <w:bookmarkStart w:id="304" w:name="page305"/>
    <w:bookmarkEnd w:id="304"/>
    <w:p>
      <w:pPr>
        <w:spacing w:after="0" w:line="99" w:lineRule="exact"/>
        <w:rPr>
          <w:sz w:val="20"/>
          <w:szCs w:val="20"/>
          <w:color w:val="auto"/>
        </w:rPr>
      </w:pPr>
    </w:p>
    <w:p>
      <w:pPr>
        <w:ind w:left="10520"/>
        <w:spacing w:after="0"/>
        <w:rPr>
          <w:sz w:val="20"/>
          <w:szCs w:val="20"/>
          <w:color w:val="auto"/>
        </w:rPr>
      </w:pPr>
      <w:r>
        <w:rPr>
          <w:rFonts w:ascii="Arial" w:cs="Arial" w:eastAsia="Arial" w:hAnsi="Arial"/>
          <w:sz w:val="13"/>
          <w:szCs w:val="13"/>
          <w:b w:val="1"/>
          <w:bCs w:val="1"/>
          <w:color w:val="auto"/>
        </w:rPr>
        <w:t>Exhibit 32.2</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CERTIFICATION OF PRINCIPAL FINANCIAL OFFICER PURSUANT TO 18 U.S.C. 1350, AS ADOPTED PURSUANT TO SECTION 906 OF THE SARBANES-OXLEY ACT OF 2002</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 Hardin Dean Mitchell, as Executive Vice President, Chief Financial Officer and Treasurer of Enact Holdings, Inc. (the “Company”), certify, pursuant to 18 U.S.C. Section 1350 (as adopted pursuant to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Section 906 of the Sarbanes-Oxley Act of 2002), that to my knowledge:</w:t>
      </w:r>
    </w:p>
    <w:p>
      <w:pPr>
        <w:spacing w:after="0" w:line="129" w:lineRule="exact"/>
        <w:rPr>
          <w:sz w:val="20"/>
          <w:szCs w:val="20"/>
          <w:color w:val="auto"/>
        </w:rPr>
      </w:pPr>
    </w:p>
    <w:p>
      <w:pPr>
        <w:ind w:left="740" w:hanging="246"/>
        <w:spacing w:after="0" w:line="266" w:lineRule="auto"/>
        <w:tabs>
          <w:tab w:leader="none" w:pos="74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accompanying Annual Report on Form 10-K of the Company for the year ended December 31, 2021 (the “Report”), filed with the U.S. Securities and Exchange Commission, fully complies with the requirements of Section 13(a) or 15(d) of the Securities Exchange Act of 1934, as amended; and</w:t>
      </w:r>
    </w:p>
    <w:p>
      <w:pPr>
        <w:spacing w:after="0" w:line="104" w:lineRule="exact"/>
        <w:rPr>
          <w:rFonts w:ascii="Arial" w:cs="Arial" w:eastAsia="Arial" w:hAnsi="Arial"/>
          <w:sz w:val="12"/>
          <w:szCs w:val="12"/>
          <w:color w:val="auto"/>
        </w:rPr>
      </w:pPr>
    </w:p>
    <w:p>
      <w:pPr>
        <w:ind w:left="740" w:hanging="246"/>
        <w:spacing w:after="0"/>
        <w:tabs>
          <w:tab w:leader="none" w:pos="74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28, 2022</w:t>
      </w:r>
    </w:p>
    <w:p>
      <w:pPr>
        <w:spacing w:after="0" w:line="200" w:lineRule="exact"/>
        <w:rPr>
          <w:sz w:val="20"/>
          <w:szCs w:val="20"/>
          <w:color w:val="auto"/>
        </w:rPr>
      </w:pPr>
    </w:p>
    <w:p>
      <w:pPr>
        <w:spacing w:after="0" w:line="259" w:lineRule="exact"/>
        <w:rPr>
          <w:sz w:val="20"/>
          <w:szCs w:val="20"/>
          <w:color w:val="auto"/>
        </w:rPr>
      </w:pPr>
    </w:p>
    <w:p>
      <w:pPr>
        <w:ind w:left="2520"/>
        <w:spacing w:after="0"/>
        <w:rPr>
          <w:sz w:val="20"/>
          <w:szCs w:val="20"/>
          <w:color w:val="auto"/>
        </w:rPr>
      </w:pPr>
      <w:r>
        <w:rPr>
          <w:rFonts w:ascii="Arial" w:cs="Arial" w:eastAsia="Arial" w:hAnsi="Arial"/>
          <w:sz w:val="12"/>
          <w:szCs w:val="12"/>
          <w:color w:val="auto"/>
        </w:rPr>
        <w:t>/s/ Hardin Dean Mitchell</w:t>
      </w:r>
    </w:p>
    <w:p>
      <w:pPr>
        <w:ind w:left="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15240</wp:posOffset>
            </wp:positionV>
            <wp:extent cx="289242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2892425" cy="6350"/>
                    </a:xfrm>
                    <a:prstGeom prst="rect">
                      <a:avLst/>
                    </a:prstGeom>
                    <a:noFill/>
                  </pic:spPr>
                </pic:pic>
              </a:graphicData>
            </a:graphic>
          </wp:anchor>
        </w:drawing>
      </w:r>
    </w:p>
    <w:p>
      <w:pPr>
        <w:spacing w:after="0" w:line="22" w:lineRule="exact"/>
        <w:rPr>
          <w:sz w:val="20"/>
          <w:szCs w:val="20"/>
          <w:color w:val="auto"/>
        </w:rPr>
      </w:pPr>
    </w:p>
    <w:p>
      <w:pPr>
        <w:jc w:val="center"/>
        <w:ind w:right="4920"/>
        <w:spacing w:after="0"/>
        <w:rPr>
          <w:sz w:val="20"/>
          <w:szCs w:val="20"/>
          <w:color w:val="auto"/>
        </w:rPr>
      </w:pPr>
      <w:r>
        <w:rPr>
          <w:rFonts w:ascii="Arial" w:cs="Arial" w:eastAsia="Arial" w:hAnsi="Arial"/>
          <w:sz w:val="12"/>
          <w:szCs w:val="12"/>
          <w:b w:val="1"/>
          <w:bCs w:val="1"/>
          <w:color w:val="auto"/>
        </w:rPr>
        <w:t>Hardin Dean Mitchell</w:t>
      </w:r>
    </w:p>
    <w:p>
      <w:pPr>
        <w:spacing w:after="0" w:line="47" w:lineRule="exact"/>
        <w:rPr>
          <w:sz w:val="20"/>
          <w:szCs w:val="20"/>
          <w:color w:val="auto"/>
        </w:rPr>
      </w:pPr>
    </w:p>
    <w:p>
      <w:pPr>
        <w:jc w:val="center"/>
        <w:ind w:right="4920"/>
        <w:spacing w:after="0"/>
        <w:rPr>
          <w:sz w:val="20"/>
          <w:szCs w:val="20"/>
          <w:color w:val="auto"/>
        </w:rPr>
      </w:pPr>
      <w:r>
        <w:rPr>
          <w:rFonts w:ascii="Arial" w:cs="Arial" w:eastAsia="Arial" w:hAnsi="Arial"/>
          <w:sz w:val="12"/>
          <w:szCs w:val="12"/>
          <w:b w:val="1"/>
          <w:bCs w:val="1"/>
          <w:color w:val="auto"/>
        </w:rPr>
        <w:t>Executive Vice President, Chief Financial Officer and Treasurer</w:t>
      </w:r>
    </w:p>
    <w:p>
      <w:pPr>
        <w:spacing w:after="0" w:line="47" w:lineRule="exact"/>
        <w:rPr>
          <w:sz w:val="20"/>
          <w:szCs w:val="20"/>
          <w:color w:val="auto"/>
        </w:rPr>
      </w:pPr>
    </w:p>
    <w:p>
      <w:pPr>
        <w:jc w:val="center"/>
        <w:ind w:right="4920"/>
        <w:spacing w:after="0"/>
        <w:rPr>
          <w:sz w:val="20"/>
          <w:szCs w:val="20"/>
          <w:color w:val="auto"/>
        </w:rPr>
      </w:pPr>
      <w:r>
        <w:rPr>
          <w:rFonts w:ascii="Arial" w:cs="Arial" w:eastAsia="Arial" w:hAnsi="Arial"/>
          <w:sz w:val="12"/>
          <w:szCs w:val="12"/>
          <w:b w:val="1"/>
          <w:bCs w:val="1"/>
          <w:color w:val="auto"/>
        </w:rPr>
        <w:t>(Principal Financial Officer)</w:t>
      </w:r>
    </w:p>
    <w:sectPr>
      <w:pgSz w:w="11900" w:h="16838" w:orient="portrait"/>
      <w:cols w:equalWidth="0" w:num="1">
        <w:col w:w="11280"/>
      </w:cols>
      <w:pgMar w:left="30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1)"/>
      <w:numFmt w:val="lowerRoman"/>
      <w:start w:val="4"/>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1."/>
      <w:numFmt w:val="lowerLetter"/>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1)"/>
      <w:numFmt w:val="decimal"/>
      <w:start w:val="1"/>
    </w:lvl>
  </w:abstractNum>
  <w:abstractNum w:abstractNumId="35">
    <w:nsid w:val="3DD15094"/>
    <w:multiLevelType w:val="hybridMultilevel"/>
    <w:lvl w:ilvl="0">
      <w:lvlJc w:val="left"/>
      <w:lvlText w:val="(%1)"/>
      <w:numFmt w:val="decimal"/>
      <w:start w:val="1"/>
    </w:lvl>
  </w:abstractNum>
  <w:abstractNum w:abstractNumId="36">
    <w:nsid w:val="3DB012B3"/>
    <w:multiLevelType w:val="hybridMultilevel"/>
    <w:lvl w:ilvl="0">
      <w:lvlJc w:val="left"/>
      <w:lvlText w:val="(%1)"/>
      <w:numFmt w:val="lowerRoman"/>
      <w:start w:val="1"/>
    </w:lvl>
  </w:abstractNum>
  <w:abstractNum w:abstractNumId="37">
    <w:nsid w:val="2708C9AF"/>
    <w:multiLevelType w:val="hybridMultilevel"/>
    <w:lvl w:ilvl="0">
      <w:lvlJc w:val="left"/>
      <w:lvlText w:val="(%1)"/>
      <w:numFmt w:val="decimal"/>
      <w:start w:val="1"/>
    </w:lvl>
  </w:abstractNum>
  <w:abstractNum w:abstractNumId="38">
    <w:nsid w:val="5B25ACE2"/>
    <w:multiLevelType w:val="hybridMultilevel"/>
    <w:lvl w:ilvl="0">
      <w:lvlJc w:val="left"/>
      <w:lvlText w:val="(%1)"/>
      <w:numFmt w:val="decimal"/>
      <w:start w:val="1"/>
    </w:lvl>
  </w:abstractNum>
  <w:abstractNum w:abstractNumId="39">
    <w:nsid w:val="175DFCF0"/>
    <w:multiLevelType w:val="hybridMultilevel"/>
    <w:lvl w:ilvl="0">
      <w:lvlJc w:val="left"/>
      <w:lvlText w:val="(%1)"/>
      <w:numFmt w:val="decimal"/>
      <w:start w:val="1"/>
    </w:lvl>
  </w:abstractNum>
  <w:abstractNum w:abstractNumId="40">
    <w:nsid w:val="4F97E3E4"/>
    <w:multiLevelType w:val="hybridMultilevel"/>
    <w:lvl w:ilvl="0">
      <w:lvlJc w:val="left"/>
      <w:lvlText w:val="(%1)"/>
      <w:numFmt w:val="decimal"/>
      <w:start w:val="1"/>
    </w:lvl>
  </w:abstractNum>
  <w:abstractNum w:abstractNumId="41">
    <w:nsid w:val="53B0A9E"/>
    <w:multiLevelType w:val="hybridMultilevel"/>
    <w:lvl w:ilvl="0">
      <w:lvlJc w:val="left"/>
      <w:lvlText w:val="(%1)"/>
      <w:numFmt w:val="decimal"/>
      <w:start w:val="1"/>
    </w:lvl>
  </w:abstractNum>
  <w:abstractNum w:abstractNumId="42">
    <w:nsid w:val="34FD6B4F"/>
    <w:multiLevelType w:val="hybridMultilevel"/>
    <w:lvl w:ilvl="0">
      <w:lvlJc w:val="left"/>
      <w:lvlText w:val="(%1)"/>
      <w:numFmt w:val="decimal"/>
      <w:start w:val="1"/>
    </w:lvl>
  </w:abstractNum>
  <w:abstractNum w:abstractNumId="43">
    <w:nsid w:val="5915FF32"/>
    <w:multiLevelType w:val="hybridMultilevel"/>
    <w:lvl w:ilvl="0">
      <w:lvlJc w:val="left"/>
      <w:lvlText w:val="(%1)"/>
      <w:numFmt w:val="decimal"/>
      <w:start w:val="1"/>
    </w:lvl>
  </w:abstractNum>
  <w:abstractNum w:abstractNumId="44">
    <w:nsid w:val="56438D15"/>
    <w:multiLevelType w:val="hybridMultilevel"/>
    <w:lvl w:ilvl="0">
      <w:lvlJc w:val="left"/>
      <w:lvlText w:val="(%1)"/>
      <w:numFmt w:val="decimal"/>
      <w:start w:val="1"/>
    </w:lvl>
  </w:abstractNum>
  <w:abstractNum w:abstractNumId="45">
    <w:nsid w:val="519E3149"/>
    <w:multiLevelType w:val="hybridMultilevel"/>
    <w:lvl w:ilvl="0">
      <w:lvlJc w:val="left"/>
      <w:lvlText w:val="(%1)"/>
      <w:numFmt w:val="decimal"/>
      <w:start w:val="1"/>
    </w:lvl>
  </w:abstractNum>
  <w:abstractNum w:abstractNumId="46">
    <w:nsid w:val="2C6E4AFD"/>
    <w:multiLevelType w:val="hybridMultilevel"/>
    <w:lvl w:ilvl="0">
      <w:lvlJc w:val="left"/>
      <w:lvlText w:val="(%1)"/>
      <w:numFmt w:val="decimal"/>
      <w:start w:val="1"/>
    </w:lvl>
  </w:abstractNum>
  <w:abstractNum w:abstractNumId="47">
    <w:nsid w:val="17A1B582"/>
    <w:multiLevelType w:val="hybridMultilevel"/>
    <w:lvl w:ilvl="0">
      <w:lvlJc w:val="left"/>
      <w:lvlText w:val="(%1)"/>
      <w:numFmt w:val="decimal"/>
      <w:start w:val="1"/>
    </w:lvl>
  </w:abstractNum>
  <w:abstractNum w:abstractNumId="48">
    <w:nsid w:val="4DF72E4E"/>
    <w:multiLevelType w:val="hybridMultilevel"/>
    <w:lvl w:ilvl="0">
      <w:lvlJc w:val="left"/>
      <w:lvlText w:val="(%1)"/>
      <w:numFmt w:val="decimal"/>
      <w:start w:val="1"/>
    </w:lvl>
  </w:abstractNum>
  <w:abstractNum w:abstractNumId="49">
    <w:nsid w:val="5046B5A9"/>
    <w:multiLevelType w:val="hybridMultilevel"/>
    <w:lvl w:ilvl="0">
      <w:lvlJc w:val="left"/>
      <w:lvlText w:val="(%1)"/>
      <w:numFmt w:val="decimal"/>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1)"/>
      <w:numFmt w:val="decimal"/>
      <w:start w:val="1"/>
    </w:lvl>
  </w:abstractNum>
  <w:abstractNum w:abstractNumId="53">
    <w:nsid w:val="19E21BB2"/>
    <w:multiLevelType w:val="hybridMultilevel"/>
    <w:lvl w:ilvl="0">
      <w:lvlJc w:val="left"/>
      <w:lvlText w:val="(%1)"/>
      <w:numFmt w:val="decimal"/>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1)"/>
      <w:numFmt w:val="decimal"/>
      <w:start w:val="1"/>
    </w:lvl>
  </w:abstractNum>
  <w:abstractNum w:abstractNumId="58">
    <w:nsid w:val="4427069A"/>
    <w:multiLevelType w:val="hybridMultilevel"/>
    <w:lvl w:ilvl="0">
      <w:lvlJc w:val="left"/>
      <w:lvlText w:val="(%1)"/>
      <w:numFmt w:val="decimal"/>
      <w:start w:val="2"/>
    </w:lvl>
  </w:abstractNum>
  <w:abstractNum w:abstractNumId="59">
    <w:nsid w:val="B37E80A"/>
    <w:multiLevelType w:val="hybridMultilevel"/>
    <w:lvl w:ilvl="0">
      <w:lvlJc w:val="left"/>
      <w:lvlText w:val="•"/>
      <w:numFmt w:val="bullet"/>
      <w:start w:val="1"/>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1)"/>
      <w:numFmt w:val="decimal"/>
      <w:start w:val="4"/>
    </w:lvl>
  </w:abstractNum>
  <w:abstractNum w:abstractNumId="63">
    <w:nsid w:val="BFFAE18"/>
    <w:multiLevelType w:val="hybridMultilevel"/>
    <w:lvl w:ilvl="0">
      <w:lvlJc w:val="left"/>
      <w:lvlText w:val="(%1)"/>
      <w:numFmt w:val="decimal"/>
      <w:start w:val="1"/>
    </w:lvl>
  </w:abstractNum>
  <w:abstractNum w:abstractNumId="64">
    <w:nsid w:val="E3E47A8"/>
    <w:multiLevelType w:val="hybridMultilevel"/>
    <w:lvl w:ilvl="0">
      <w:lvlJc w:val="left"/>
      <w:lvlText w:val="(%1)"/>
      <w:numFmt w:val="decimal"/>
      <w:start w:val="1"/>
    </w:lvl>
  </w:abstractNum>
  <w:abstractNum w:abstractNumId="65">
    <w:nsid w:val="2E48F044"/>
    <w:multiLevelType w:val="hybridMultilevel"/>
    <w:lvl w:ilvl="0">
      <w:lvlJc w:val="left"/>
      <w:lvlText w:val="(%1)"/>
      <w:numFmt w:val="decimal"/>
      <w:start w:val="1"/>
    </w:lvl>
  </w:abstractNum>
  <w:abstractNum w:abstractNumId="66">
    <w:nsid w:val="49D0FEAC"/>
    <w:multiLevelType w:val="hybridMultilevel"/>
    <w:lvl w:ilvl="0">
      <w:lvlJc w:val="left"/>
      <w:lvlText w:val="(%1)"/>
      <w:numFmt w:val="decimal"/>
      <w:start w:val="1"/>
    </w:lvl>
  </w:abstractNum>
  <w:abstractNum w:abstractNumId="67">
    <w:nsid w:val="4BEE5A5B"/>
    <w:multiLevelType w:val="hybridMultilevel"/>
    <w:lvl w:ilvl="0">
      <w:lvlJc w:val="left"/>
      <w:lvlText w:val="(%1)"/>
      <w:numFmt w:val="decimal"/>
      <w:start w:val="1"/>
    </w:lvl>
  </w:abstractNum>
  <w:abstractNum w:abstractNumId="68">
    <w:nsid w:val="5551B9F3"/>
    <w:multiLevelType w:val="hybridMultilevel"/>
    <w:lvl w:ilvl="0">
      <w:lvlJc w:val="left"/>
      <w:lvlText w:val="(%1)"/>
      <w:numFmt w:val="decimal"/>
      <w:start w:val="1"/>
    </w:lvl>
  </w:abstractNum>
  <w:abstractNum w:abstractNumId="69">
    <w:nsid w:val="24F6AB8E"/>
    <w:multiLevelType w:val="hybridMultilevel"/>
    <w:lvl w:ilvl="0">
      <w:lvlJc w:val="left"/>
      <w:lvlText w:val="(%1)"/>
      <w:numFmt w:val="decimal"/>
      <w:start w:val="1"/>
    </w:lvl>
  </w:abstractNum>
  <w:abstractNum w:abstractNumId="70">
    <w:nsid w:val="634C574C"/>
    <w:multiLevelType w:val="hybridMultilevel"/>
    <w:lvl w:ilvl="0">
      <w:lvlJc w:val="left"/>
      <w:lvlText w:val="(%1)"/>
      <w:numFmt w:val="decimal"/>
      <w:start w:val="1"/>
    </w:lvl>
  </w:abstractNum>
  <w:abstractNum w:abstractNumId="71">
    <w:nsid w:val="24E99DD7"/>
    <w:multiLevelType w:val="hybridMultilevel"/>
    <w:lvl w:ilvl="0">
      <w:lvlJc w:val="left"/>
      <w:lvlText w:val="(%1)"/>
      <w:numFmt w:val="decimal"/>
      <w:start w:val="6"/>
    </w:lvl>
  </w:abstractNum>
  <w:abstractNum w:abstractNumId="72">
    <w:nsid w:val="2A31B62D"/>
    <w:multiLevelType w:val="hybridMultilevel"/>
    <w:lvl w:ilvl="0">
      <w:lvlJc w:val="left"/>
      <w:lvlText w:val="(%1)"/>
      <w:numFmt w:val="decimal"/>
      <w:start w:val="8"/>
    </w:lvl>
  </w:abstractNum>
  <w:abstractNum w:abstractNumId="73">
    <w:nsid w:val="1849C29B"/>
    <w:multiLevelType w:val="hybridMultilevel"/>
    <w:lvl w:ilvl="0">
      <w:lvlJc w:val="left"/>
      <w:lvlText w:val="(%1)"/>
      <w:numFmt w:val="decimal"/>
      <w:start w:val="1"/>
    </w:lvl>
  </w:abstractNum>
  <w:abstractNum w:abstractNumId="74">
    <w:nsid w:val="7DFF9D09"/>
    <w:multiLevelType w:val="hybridMultilevel"/>
    <w:lvl w:ilvl="0">
      <w:lvlJc w:val="left"/>
      <w:lvlText w:val="(%1)"/>
      <w:numFmt w:val="decimal"/>
      <w:start w:val="9"/>
    </w:lvl>
  </w:abstractNum>
  <w:abstractNum w:abstractNumId="75">
    <w:nsid w:val="754342"/>
    <w:multiLevelType w:val="hybridMultilevel"/>
    <w:lvl w:ilvl="0">
      <w:lvlJc w:val="left"/>
      <w:lvlText w:val="(%1)"/>
      <w:numFmt w:val="decimal"/>
      <w:start w:val="10"/>
    </w:lvl>
  </w:abstractNum>
  <w:abstractNum w:abstractNumId="76">
    <w:nsid w:val="69E7F3E5"/>
    <w:multiLevelType w:val="hybridMultilevel"/>
    <w:lvl w:ilvl="0">
      <w:lvlJc w:val="left"/>
      <w:lvlText w:val="(%1)"/>
      <w:numFmt w:val="decimal"/>
      <w:start w:val="11"/>
    </w:lvl>
  </w:abstractNum>
  <w:abstractNum w:abstractNumId="77">
    <w:nsid w:val="2A6DE806"/>
    <w:multiLevelType w:val="hybridMultilevel"/>
    <w:lvl w:ilvl="0">
      <w:lvlJc w:val="left"/>
      <w:lvlText w:val="(%1)"/>
      <w:numFmt w:val="decimal"/>
      <w:start w:val="12"/>
    </w:lvl>
  </w:abstractNum>
  <w:abstractNum w:abstractNumId="78">
    <w:nsid w:val="1816F8C4"/>
    <w:multiLevelType w:val="hybridMultilevel"/>
    <w:lvl w:ilvl="0">
      <w:lvlJc w:val="left"/>
      <w:lvlText w:val="(%1)"/>
      <w:numFmt w:val="decimal"/>
      <w:start w:val="13"/>
    </w:lvl>
  </w:abstractNum>
  <w:abstractNum w:abstractNumId="79">
    <w:nsid w:val="37DF2233"/>
    <w:multiLevelType w:val="hybridMultilevel"/>
    <w:lvl w:ilvl="0">
      <w:lvlJc w:val="left"/>
      <w:lvlText w:val="(%1)"/>
      <w:numFmt w:val="lowerLetter"/>
      <w:start w:val="1"/>
    </w:lvl>
  </w:abstractNum>
  <w:abstractNum w:abstractNumId="80">
    <w:nsid w:val="7AB49DAF"/>
    <w:multiLevelType w:val="hybridMultilevel"/>
    <w:lvl w:ilvl="0">
      <w:lvlJc w:val="left"/>
      <w:lvlText w:val="(%1)"/>
      <w:numFmt w:val="lowerLetter"/>
      <w:start w:val="2"/>
    </w:lvl>
  </w:abstractNum>
  <w:abstractNum w:abstractNumId="81">
    <w:nsid w:val="759F82CD"/>
    <w:multiLevelType w:val="hybridMultilevel"/>
    <w:lvl w:ilvl="0">
      <w:lvlJc w:val="left"/>
      <w:lvlText w:val="(%1)"/>
      <w:numFmt w:val="decimal"/>
      <w:start w:val="14"/>
    </w:lvl>
  </w:abstractNum>
  <w:abstractNum w:abstractNumId="82">
    <w:nsid w:val="61E74EA3"/>
    <w:multiLevelType w:val="hybridMultilevel"/>
    <w:lvl w:ilvl="0">
      <w:lvlJc w:val="left"/>
      <w:lvlText w:val="(%1)"/>
      <w:numFmt w:val="decimal"/>
      <w:start w:val="15"/>
    </w:lvl>
  </w:abstractNum>
  <w:abstractNum w:abstractNumId="83">
    <w:nsid w:val="597B4D84"/>
    <w:multiLevelType w:val="hybridMultilevel"/>
    <w:lvl w:ilvl="0">
      <w:lvlJc w:val="left"/>
      <w:lvlText w:val="(%1)"/>
      <w:numFmt w:val="decimal"/>
      <w:start w:val="1"/>
    </w:lvl>
  </w:abstractNum>
  <w:abstractNum w:abstractNumId="84">
    <w:nsid w:val="F819E7F"/>
    <w:multiLevelType w:val="hybridMultilevel"/>
    <w:lvl w:ilvl="0">
      <w:lvlJc w:val="left"/>
      <w:lvlText w:val="(%1)"/>
      <w:numFmt w:val="decimal"/>
      <w:start w:val="2"/>
    </w:lvl>
  </w:abstractNum>
  <w:abstractNum w:abstractNumId="85">
    <w:nsid w:val="57C7D42D"/>
    <w:multiLevelType w:val="hybridMultilevel"/>
    <w:lvl w:ilvl="0">
      <w:lvlJc w:val="left"/>
      <w:lvlText w:val="%1."/>
      <w:numFmt w:val="decimal"/>
      <w:start w:val="2"/>
    </w:lvl>
  </w:abstractNum>
  <w:abstractNum w:abstractNumId="86">
    <w:nsid w:val="312167AD"/>
    <w:multiLevelType w:val="hybridMultilevel"/>
    <w:lvl w:ilvl="0">
      <w:lvlJc w:val="left"/>
      <w:lvlText w:val="+"/>
      <w:numFmt w:val="bullet"/>
      <w:start w:val="1"/>
    </w:lvl>
    <w:lvl w:ilvl="1">
      <w:lvlJc w:val="left"/>
      <w:lvlText w:val="%2"/>
      <w:numFmt w:val="decimal"/>
      <w:start w:val="104"/>
    </w:lvl>
  </w:abstractNum>
  <w:abstractNum w:abstractNumId="87">
    <w:nsid w:val="631B64D4"/>
    <w:multiLevelType w:val="hybridMultilevel"/>
    <w:lvl w:ilvl="0">
      <w:lvlJc w:val="left"/>
      <w:lvlText w:val="%1."/>
      <w:numFmt w:val="decimal"/>
      <w:start w:val="1"/>
    </w:lvl>
  </w:abstractNum>
  <w:abstractNum w:abstractNumId="88">
    <w:nsid w:val="78B5E77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9">
    <w:nsid w:val="75486E47"/>
    <w:multiLevelType w:val="hybridMultilevel"/>
    <w:lvl w:ilvl="0">
      <w:lvlJc w:val="left"/>
      <w:lvlText w:val="%1."/>
      <w:numFmt w:val="upperLetter"/>
      <w:start w:val="3"/>
    </w:lvl>
  </w:abstractNum>
  <w:abstractNum w:abstractNumId="90">
    <w:nsid w:val="6E534CDE"/>
    <w:multiLevelType w:val="hybridMultilevel"/>
    <w:lvl w:ilvl="0">
      <w:lvlJc w:val="left"/>
      <w:lvlText w:val="%1."/>
      <w:numFmt w:val="upperLetter"/>
      <w:start w:val="1"/>
    </w:lvl>
  </w:abstractNum>
  <w:abstractNum w:abstractNumId="91">
    <w:nsid w:val="1A0DDE32"/>
    <w:multiLevelType w:val="hybridMultilevel"/>
    <w:lvl w:ilvl="0">
      <w:lvlJc w:val="left"/>
      <w:lvlText w:val="%1."/>
      <w:numFmt w:val="upperLetter"/>
      <w:start w:val="6"/>
    </w:lvl>
  </w:abstractNum>
  <w:abstractNum w:abstractNumId="92">
    <w:nsid w:val="65968C1C"/>
    <w:multiLevelType w:val="hybridMultilevel"/>
    <w:lvl w:ilvl="0">
      <w:lvlJc w:val="left"/>
      <w:lvlText w:val="%1."/>
      <w:numFmt w:val="upperLetter"/>
      <w:start w:val="1"/>
    </w:lvl>
  </w:abstractNum>
  <w:abstractNum w:abstractNumId="93">
    <w:nsid w:val="46263DEC"/>
    <w:multiLevelType w:val="hybridMultilevel"/>
    <w:lvl w:ilvl="0">
      <w:lvlJc w:val="left"/>
      <w:lvlText w:val="%1."/>
      <w:numFmt w:val="upperLetter"/>
      <w:start w:val="2"/>
    </w:lvl>
  </w:abstractNum>
  <w:abstractNum w:abstractNumId="94">
    <w:nsid w:val="260D8C4A"/>
    <w:multiLevelType w:val="hybridMultilevel"/>
    <w:lvl w:ilvl="0">
      <w:lvlJc w:val="left"/>
      <w:lvlText w:val="(%1)"/>
      <w:numFmt w:val="lowerRoman"/>
      <w:start w:val="4"/>
    </w:lvl>
  </w:abstractNum>
  <w:abstractNum w:abstractNumId="95">
    <w:nsid w:val="73D4D3C4"/>
    <w:multiLevelType w:val="hybridMultilevel"/>
    <w:lvl w:ilvl="0">
      <w:lvlJc w:val="left"/>
      <w:lvlText w:val="%1."/>
      <w:numFmt w:val="upperLetter"/>
      <w:start w:val="1"/>
    </w:lvl>
    <w:lvl w:ilvl="1">
      <w:lvlJc w:val="left"/>
      <w:lvlText w:val="%2."/>
      <w:numFmt w:val="lowerRoman"/>
      <w:start w:val="1"/>
    </w:lvl>
  </w:abstractNum>
  <w:abstractNum w:abstractNumId="96">
    <w:nsid w:val="746F2E30"/>
    <w:multiLevelType w:val="hybridMultilevel"/>
    <w:lvl w:ilvl="0">
      <w:lvlJc w:val="left"/>
      <w:lvlText w:val="%1"/>
      <w:numFmt w:val="upperLetter"/>
      <w:start w:val="1"/>
    </w:lvl>
    <w:lvl w:ilvl="1">
      <w:lvlJc w:val="left"/>
      <w:lvlText w:val="%2."/>
      <w:numFmt w:val="lowerRoman"/>
      <w:start w:val="2"/>
    </w:lvl>
  </w:abstractNum>
  <w:abstractNum w:abstractNumId="97">
    <w:nsid w:val="6FDE8AF6"/>
    <w:multiLevelType w:val="hybridMultilevel"/>
    <w:lvl w:ilvl="0">
      <w:lvlJc w:val="left"/>
      <w:lvlText w:val="%1"/>
      <w:numFmt w:val="upperLetter"/>
      <w:start w:val="1"/>
    </w:lvl>
    <w:lvl w:ilvl="1">
      <w:lvlJc w:val="left"/>
      <w:lvlText w:val="%2."/>
      <w:numFmt w:val="lowerRoman"/>
      <w:start w:val="1"/>
    </w:lvl>
  </w:abstractNum>
  <w:abstractNum w:abstractNumId="98">
    <w:nsid w:val="3FC32E20"/>
    <w:multiLevelType w:val="hybridMultilevel"/>
    <w:lvl w:ilvl="0">
      <w:lvlJc w:val="left"/>
      <w:lvlText w:val="%1"/>
      <w:numFmt w:val="lowerRoman"/>
      <w:start w:val="1"/>
    </w:lvl>
    <w:lvl w:ilvl="1">
      <w:lvlJc w:val="left"/>
      <w:lvlText w:val="(%2)"/>
      <w:numFmt w:val="decimal"/>
      <w:start w:val="1"/>
    </w:lvl>
  </w:abstractNum>
  <w:abstractNum w:abstractNumId="99">
    <w:nsid w:val="49C0E823"/>
    <w:multiLevelType w:val="hybridMultilevel"/>
    <w:lvl w:ilvl="0">
      <w:lvlJc w:val="left"/>
      <w:lvlText w:val="%1."/>
      <w:numFmt w:val="lowerRoman"/>
      <w:start w:val="4"/>
    </w:lvl>
    <w:lvl w:ilvl="1">
      <w:lvlJc w:val="left"/>
      <w:lvlText w:val="%2"/>
      <w:numFmt w:val="decimal"/>
      <w:start w:val="1"/>
    </w:lvl>
  </w:abstractNum>
  <w:abstractNum w:abstractNumId="100">
    <w:nsid w:val="14D53685"/>
    <w:multiLevelType w:val="hybridMultilevel"/>
    <w:lvl w:ilvl="0">
      <w:lvlJc w:val="left"/>
      <w:lvlText w:val="%1."/>
      <w:numFmt w:val="lowerRoman"/>
      <w:start w:val="5"/>
    </w:lvl>
    <w:lvl w:ilvl="1">
      <w:lvlJc w:val="left"/>
      <w:lvlText w:val="(%2)"/>
      <w:numFmt w:val="decimal"/>
      <w:start w:val="2"/>
    </w:lvl>
    <w:lvl w:ilvl="2">
      <w:lvlJc w:val="left"/>
      <w:lvlText w:val="(%3)"/>
      <w:numFmt w:val="decimal"/>
      <w:start w:val="1"/>
    </w:lvl>
  </w:abstractNum>
  <w:abstractNum w:abstractNumId="101">
    <w:nsid w:val="230F856C"/>
    <w:multiLevelType w:val="hybridMultilevel"/>
    <w:lvl w:ilvl="0">
      <w:lvlJc w:val="left"/>
      <w:lvlText w:val="%1."/>
      <w:numFmt w:val="lowerRoman"/>
      <w:start w:val="8"/>
    </w:lvl>
  </w:abstractNum>
  <w:abstractNum w:abstractNumId="102">
    <w:nsid w:val="6EAA85FB"/>
    <w:multiLevelType w:val="hybridMultilevel"/>
    <w:lvl w:ilvl="0">
      <w:lvlJc w:val="left"/>
      <w:lvlText w:val="(%1)"/>
      <w:numFmt w:val="lowerRoman"/>
      <w:start w:val="2"/>
    </w:lvl>
  </w:abstractNum>
  <w:abstractNum w:abstractNumId="103">
    <w:nsid w:val="3F06ECB2"/>
    <w:multiLevelType w:val="hybridMultilevel"/>
    <w:lvl w:ilvl="0">
      <w:lvlJc w:val="left"/>
      <w:lvlText w:val="(%1)"/>
      <w:numFmt w:val="lowerRoman"/>
      <w:start w:val="4"/>
    </w:lvl>
  </w:abstractNum>
  <w:abstractNum w:abstractNumId="104">
    <w:nsid w:val="3B594807"/>
    <w:multiLevelType w:val="hybridMultilevel"/>
    <w:lvl w:ilvl="0">
      <w:lvlJc w:val="left"/>
      <w:lvlText w:val="(%1)"/>
      <w:numFmt w:val="lowerRoman"/>
      <w:start w:val="1"/>
    </w:lvl>
  </w:abstractNum>
  <w:abstractNum w:abstractNumId="105">
    <w:nsid w:val="6CAA2304"/>
    <w:multiLevelType w:val="hybridMultilevel"/>
    <w:lvl w:ilvl="0">
      <w:lvlJc w:val="left"/>
      <w:lvlText w:val="%1"/>
      <w:numFmt w:val="decimal"/>
      <w:start w:val="1"/>
    </w:lvl>
    <w:lvl w:ilvl="1">
      <w:lvlJc w:val="left"/>
      <w:lvlText w:val="(%2)"/>
      <w:numFmt w:val="lowerLetter"/>
      <w:start w:val="1"/>
    </w:lvl>
  </w:abstractNum>
  <w:abstractNum w:abstractNumId="106">
    <w:nsid w:val="3F7C2FF4"/>
    <w:multiLevelType w:val="hybridMultilevel"/>
    <w:lvl w:ilvl="0">
      <w:lvlJc w:val="left"/>
      <w:lvlText w:val="(%1)"/>
      <w:numFmt w:val="decimal"/>
      <w:start w:val="3"/>
    </w:lvl>
    <w:lvl w:ilvl="1">
      <w:lvlJc w:val="left"/>
      <w:lvlText w:val="%2"/>
      <w:numFmt w:val="lowerLetter"/>
      <w:start w:val="1"/>
    </w:lvl>
  </w:abstractNum>
  <w:abstractNum w:abstractNumId="107">
    <w:nsid w:val="25413BEC"/>
    <w:multiLevelType w:val="hybridMultilevel"/>
    <w:lvl w:ilvl="0">
      <w:lvlJc w:val="left"/>
      <w:lvlText w:val="(%1)"/>
      <w:numFmt w:val="lowerLetter"/>
      <w:start w:val="3"/>
    </w:lvl>
  </w:abstractNum>
  <w:abstractNum w:abstractNumId="108">
    <w:nsid w:val="17180B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579328B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10">
    <w:nsid w:val="5D205E20"/>
    <w:multiLevelType w:val="hybridMultilevel"/>
    <w:lvl w:ilvl="0">
      <w:lvlJc w:val="left"/>
      <w:lvlText w:val="%1"/>
      <w:numFmt w:val="lowerLetter"/>
      <w:start w:val="1"/>
    </w:lvl>
    <w:lvl w:ilvl="1">
      <w:lvlJc w:val="left"/>
      <w:lvlText w:val="(%2)"/>
      <w:numFmt w:val="upperLetter"/>
      <w:start w:val="2"/>
    </w:lvl>
  </w:abstractNum>
  <w:abstractNum w:abstractNumId="111">
    <w:nsid w:val="11CCA8BA"/>
    <w:multiLevelType w:val="hybridMultilevel"/>
    <w:lvl w:ilvl="0">
      <w:lvlJc w:val="left"/>
      <w:lvlText w:val="(%1)"/>
      <w:numFmt w:val="lowerLetter"/>
      <w:start w:val="10"/>
    </w:lvl>
    <w:lvl w:ilvl="1">
      <w:lvlJc w:val="left"/>
      <w:lvlText w:val="%2"/>
      <w:numFmt w:val="upperLetter"/>
      <w:start w:val="1"/>
    </w:lvl>
  </w:abstractNum>
  <w:abstractNum w:abstractNumId="112">
    <w:nsid w:val="4D32AB86"/>
    <w:multiLevelType w:val="hybridMultilevel"/>
    <w:lvl w:ilvl="0">
      <w:lvlJc w:val="left"/>
      <w:lvlText w:val="(%1)"/>
      <w:numFmt w:val="lowerLetter"/>
      <w:start w:val="1"/>
    </w:lvl>
    <w:lvl w:ilvl="1">
      <w:lvlJc w:val="left"/>
      <w:lvlText w:val="(%2)"/>
      <w:numFmt w:val="lowerRoman"/>
      <w:start w:val="1"/>
    </w:lvl>
  </w:abstractNum>
  <w:abstractNum w:abstractNumId="113">
    <w:nsid w:val="3F07ACC3"/>
    <w:multiLevelType w:val="hybridMultilevel"/>
    <w:lvl w:ilvl="0">
      <w:lvlJc w:val="left"/>
      <w:lvlText w:val="(%1)"/>
      <w:numFmt w:val="lowerLetter"/>
      <w:start w:val="4"/>
    </w:lvl>
  </w:abstractNum>
  <w:abstractNum w:abstractNumId="114">
    <w:nsid w:val="6B47F63E"/>
    <w:multiLevelType w:val="hybridMultilevel"/>
    <w:lvl w:ilvl="0">
      <w:lvlJc w:val="left"/>
      <w:lvlText w:val="(%1)"/>
      <w:numFmt w:val="lowerLetter"/>
      <w:start w:val="1"/>
    </w:lvl>
    <w:lvl w:ilvl="1">
      <w:lvlJc w:val="left"/>
      <w:lvlText w:val="(%2)"/>
      <w:numFmt w:val="lowerRoman"/>
      <w:start w:val="1"/>
    </w:lvl>
  </w:abstractNum>
  <w:abstractNum w:abstractNumId="115">
    <w:nsid w:val="5CB44A05"/>
    <w:multiLevelType w:val="hybridMultilevel"/>
    <w:lvl w:ilvl="0">
      <w:lvlJc w:val="left"/>
      <w:lvlText w:val="(%1)"/>
      <w:numFmt w:val="lowerLetter"/>
      <w:start w:val="1"/>
    </w:lvl>
  </w:abstractNum>
  <w:abstractNum w:abstractNumId="116">
    <w:nsid w:val="16CF80F1"/>
    <w:multiLevelType w:val="hybridMultilevel"/>
    <w:lvl w:ilvl="0">
      <w:lvlJc w:val="left"/>
      <w:lvlText w:val="(%1)"/>
      <w:numFmt w:val="lowerLetter"/>
      <w:start w:val="1"/>
    </w:lvl>
    <w:lvl w:ilvl="1">
      <w:lvlJc w:val="left"/>
      <w:lvlText w:val="(%2)"/>
      <w:numFmt w:val="lowerRoman"/>
      <w:start w:val="1"/>
    </w:lvl>
  </w:abstractNum>
  <w:abstractNum w:abstractNumId="117">
    <w:nsid w:val="1C695DEC"/>
    <w:multiLevelType w:val="hybridMultilevel"/>
    <w:lvl w:ilvl="0">
      <w:lvlJc w:val="left"/>
      <w:lvlText w:val="%1"/>
      <w:numFmt w:val="lowerLetter"/>
      <w:start w:val="1"/>
    </w:lvl>
    <w:lvl w:ilvl="1">
      <w:lvlJc w:val="left"/>
      <w:lvlText w:val="(%2)"/>
      <w:numFmt w:val="upperLetter"/>
      <w:start w:val="1"/>
    </w:lvl>
  </w:abstractNum>
  <w:abstractNum w:abstractNumId="118">
    <w:nsid w:val="3FCFAED9"/>
    <w:multiLevelType w:val="hybridMultilevel"/>
    <w:lvl w:ilvl="0">
      <w:lvlJc w:val="left"/>
      <w:lvlText w:val="(%1)"/>
      <w:numFmt w:val="lowerLetter"/>
      <w:start w:val="2"/>
    </w:lvl>
    <w:lvl w:ilvl="1">
      <w:lvlJc w:val="left"/>
      <w:lvlText w:val="%2"/>
      <w:numFmt w:val="upperLetter"/>
      <w:start w:val="1"/>
    </w:lvl>
  </w:abstractNum>
  <w:abstractNum w:abstractNumId="119">
    <w:nsid w:val="F856867"/>
    <w:multiLevelType w:val="hybridMultilevel"/>
    <w:lvl w:ilvl="0">
      <w:lvlJc w:val="left"/>
      <w:lvlText w:val="(%1)"/>
      <w:numFmt w:val="lowerRoman"/>
      <w:start w:val="1"/>
    </w:lvl>
  </w:abstractNum>
  <w:abstractNum w:abstractNumId="120">
    <w:nsid w:val="11B1CC33"/>
    <w:multiLevelType w:val="hybridMultilevel"/>
    <w:lvl w:ilvl="0">
      <w:lvlJc w:val="left"/>
      <w:lvlText w:val="%1"/>
      <w:numFmt w:val="lowerLetter"/>
      <w:start w:val="1"/>
    </w:lvl>
    <w:lvl w:ilvl="1">
      <w:lvlJc w:val="left"/>
      <w:lvlText w:val="(%2)"/>
      <w:numFmt w:val="upperLetter"/>
      <w:start w:val="1"/>
    </w:lvl>
  </w:abstractNum>
  <w:abstractNum w:abstractNumId="121">
    <w:nsid w:val="2E22FBB7"/>
    <w:multiLevelType w:val="hybridMultilevel"/>
    <w:lvl w:ilvl="0">
      <w:lvlJc w:val="left"/>
      <w:lvlText w:val="(%1)"/>
      <w:numFmt w:val="lowerLetter"/>
      <w:start w:val="3"/>
    </w:lvl>
    <w:lvl w:ilvl="1">
      <w:lvlJc w:val="left"/>
      <w:lvlText w:val="%2"/>
      <w:numFmt w:val="upperLetter"/>
      <w:start w:val="1"/>
    </w:lvl>
  </w:abstractNum>
  <w:abstractNum w:abstractNumId="122">
    <w:nsid w:val="29934699"/>
    <w:multiLevelType w:val="hybridMultilevel"/>
    <w:lvl w:ilvl="0">
      <w:lvlJc w:val="left"/>
      <w:lvlText w:val="(%1)"/>
      <w:numFmt w:val="lowerLetter"/>
      <w:start w:val="1"/>
    </w:lvl>
    <w:lvl w:ilvl="1">
      <w:lvlJc w:val="left"/>
      <w:lvlText w:val="(%2)"/>
      <w:numFmt w:val="lowerRoman"/>
      <w:start w:val="1"/>
    </w:lvl>
  </w:abstractNum>
  <w:abstractNum w:abstractNumId="123">
    <w:nsid w:val="77485850"/>
    <w:multiLevelType w:val="hybridMultilevel"/>
    <w:lvl w:ilvl="0">
      <w:lvlJc w:val="left"/>
      <w:lvlText w:val="(%1)"/>
      <w:numFmt w:val="lowerLetter"/>
      <w:start w:val="2"/>
    </w:lvl>
    <w:lvl w:ilvl="1">
      <w:lvlJc w:val="left"/>
      <w:lvlText w:val="(%2)"/>
      <w:numFmt w:val="lowerRoman"/>
      <w:start w:val="1"/>
    </w:lvl>
  </w:abstractNum>
  <w:abstractNum w:abstractNumId="124">
    <w:nsid w:val="744939A3"/>
    <w:multiLevelType w:val="hybridMultilevel"/>
    <w:lvl w:ilvl="0">
      <w:lvlJc w:val="left"/>
      <w:lvlText w:val="(%1)"/>
      <w:numFmt w:val="lowerRoman"/>
      <w:start w:val="3"/>
    </w:lvl>
  </w:abstractNum>
  <w:abstractNum w:abstractNumId="125">
    <w:nsid w:val="4FA0D2E3"/>
    <w:multiLevelType w:val="hybridMultilevel"/>
    <w:lvl w:ilvl="0">
      <w:lvlJc w:val="left"/>
      <w:lvlText w:val="(%1)"/>
      <w:numFmt w:val="lowerLetter"/>
      <w:start w:val="1"/>
    </w:lvl>
  </w:abstractNum>
  <w:abstractNum w:abstractNumId="126">
    <w:nsid w:val="6B1D2C14"/>
    <w:multiLevelType w:val="hybridMultilevel"/>
    <w:lvl w:ilvl="0">
      <w:lvlJc w:val="left"/>
      <w:lvlText w:val="(%1)"/>
      <w:numFmt w:val="lowerLetter"/>
      <w:start w:val="2"/>
    </w:lvl>
  </w:abstractNum>
  <w:abstractNum w:abstractNumId="127">
    <w:nsid w:val="68B867D3"/>
    <w:multiLevelType w:val="hybridMultilevel"/>
    <w:lvl w:ilvl="0">
      <w:lvlJc w:val="left"/>
      <w:lvlText w:val="(%1)"/>
      <w:numFmt w:val="lowerLetter"/>
      <w:start w:val="1"/>
    </w:lvl>
  </w:abstractNum>
  <w:abstractNum w:abstractNumId="128">
    <w:nsid w:val="3F7F5DD9"/>
    <w:multiLevelType w:val="hybridMultilevel"/>
    <w:lvl w:ilvl="0">
      <w:lvlJc w:val="left"/>
      <w:lvlText w:val="(%1)"/>
      <w:numFmt w:val="lowerLetter"/>
      <w:start w:val="1"/>
    </w:lvl>
  </w:abstractNum>
  <w:abstractNum w:abstractNumId="129">
    <w:nsid w:val="2AE05A34"/>
    <w:multiLevelType w:val="hybridMultilevel"/>
    <w:lvl w:ilvl="0">
      <w:lvlJc w:val="left"/>
      <w:lvlText w:val="(%1)"/>
      <w:numFmt w:val="lowerRoman"/>
      <w:start w:val="1"/>
    </w:lvl>
  </w:abstractNum>
  <w:abstractNum w:abstractNumId="130">
    <w:nsid w:val="32794FF7"/>
    <w:multiLevelType w:val="hybridMultilevel"/>
    <w:lvl w:ilvl="0">
      <w:lvlJc w:val="left"/>
      <w:lvlText w:val="(%1)"/>
      <w:numFmt w:val="lowerLetter"/>
      <w:start w:val="1"/>
    </w:lvl>
  </w:abstractNum>
  <w:abstractNum w:abstractNumId="131">
    <w:nsid w:val="5454945E"/>
    <w:multiLevelType w:val="hybridMultilevel"/>
    <w:lvl w:ilvl="0">
      <w:lvlJc w:val="left"/>
      <w:lvlText w:val="(%1)"/>
      <w:numFmt w:val="lowerLetter"/>
      <w:start w:val="3"/>
    </w:lvl>
  </w:abstractNum>
  <w:abstractNum w:abstractNumId="132">
    <w:nsid w:val="4DEFDFA0"/>
    <w:multiLevelType w:val="hybridMultilevel"/>
    <w:lvl w:ilvl="0">
      <w:lvlJc w:val="left"/>
      <w:lvlText w:val="(%1)"/>
      <w:numFmt w:val="lowerLetter"/>
      <w:start w:val="7"/>
    </w:lvl>
  </w:abstractNum>
  <w:abstractNum w:abstractNumId="133">
    <w:nsid w:val="2123D5F2"/>
    <w:multiLevelType w:val="hybridMultilevel"/>
    <w:lvl w:ilvl="0">
      <w:lvlJc w:val="left"/>
      <w:lvlText w:val="(%1)"/>
      <w:numFmt w:val="lowerLetter"/>
      <w:start w:val="1"/>
    </w:lvl>
  </w:abstractNum>
  <w:abstractNum w:abstractNumId="134">
    <w:nsid w:val="135B8110"/>
    <w:multiLevelType w:val="hybridMultilevel"/>
    <w:lvl w:ilvl="0">
      <w:lvlJc w:val="left"/>
      <w:lvlText w:val="(%1)"/>
      <w:numFmt w:val="lowerLetter"/>
      <w:start w:val="1"/>
    </w:lvl>
  </w:abstractNum>
  <w:abstractNum w:abstractNumId="135">
    <w:nsid w:val="94927A8"/>
    <w:multiLevelType w:val="hybridMultilevel"/>
    <w:lvl w:ilvl="0">
      <w:lvlJc w:val="left"/>
      <w:lvlText w:val="(%1)"/>
      <w:numFmt w:val="lowerLetter"/>
      <w:start w:val="7"/>
    </w:lvl>
  </w:abstractNum>
  <w:abstractNum w:abstractNumId="136">
    <w:nsid w:val="DCDF8F6"/>
    <w:multiLevelType w:val="hybridMultilevel"/>
    <w:lvl w:ilvl="0">
      <w:lvlJc w:val="left"/>
      <w:lvlText w:val="(%1)"/>
      <w:numFmt w:val="lowerLetter"/>
      <w:start w:val="1"/>
    </w:lvl>
    <w:lvl w:ilvl="1">
      <w:lvlJc w:val="left"/>
      <w:lvlText w:val="(%2)"/>
      <w:numFmt w:val="lowerLetter"/>
      <w:start w:val="9"/>
    </w:lvl>
  </w:abstractNum>
  <w:abstractNum w:abstractNumId="137">
    <w:nsid w:val="52D7B105"/>
    <w:multiLevelType w:val="hybridMultilevel"/>
    <w:lvl w:ilvl="0">
      <w:lvlJc w:val="left"/>
      <w:lvlText w:val="%1"/>
      <w:numFmt w:val="lowerLetter"/>
      <w:start w:val="1"/>
    </w:lvl>
    <w:lvl w:ilvl="1">
      <w:lvlJc w:val="left"/>
      <w:lvlText w:val="(%2)"/>
      <w:numFmt w:val="lowerLetter"/>
      <w:start w:val="35"/>
    </w:lvl>
  </w:abstractNum>
  <w:abstractNum w:abstractNumId="138">
    <w:nsid w:val="2E8A6394"/>
    <w:multiLevelType w:val="hybridMultilevel"/>
    <w:lvl w:ilvl="0">
      <w:lvlJc w:val="left"/>
      <w:lvlText w:val="(%1)"/>
      <w:numFmt w:val="lowerLetter"/>
      <w:start w:val="6"/>
    </w:lvl>
    <w:lvl w:ilvl="1">
      <w:lvlJc w:val="left"/>
      <w:lvlText w:val="%2"/>
      <w:numFmt w:val="lowerLetter"/>
      <w:start w:val="1"/>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lowerRoman"/>
      <w:start w:val="2"/>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lowerLetter"/>
      <w:start w:val="3"/>
    </w:lvl>
  </w:abstractNum>
  <w:abstractNum w:abstractNumId="143">
    <w:nsid w:val="779D8544"/>
    <w:multiLevelType w:val="hybridMultilevel"/>
    <w:lvl w:ilvl="0">
      <w:lvlJc w:val="left"/>
      <w:lvlText w:val="(%1)"/>
      <w:numFmt w:val="lowerLetter"/>
      <w:start w:val="1"/>
    </w:lvl>
  </w:abstractNum>
  <w:abstractNum w:abstractNumId="144">
    <w:nsid w:val="4AB26E78"/>
    <w:multiLevelType w:val="hybridMultilevel"/>
    <w:lvl w:ilvl="0">
      <w:lvlJc w:val="left"/>
      <w:lvlText w:val="(%1)"/>
      <w:numFmt w:val="lowerLetter"/>
      <w:start w:val="4"/>
    </w:lvl>
  </w:abstractNum>
  <w:abstractNum w:abstractNumId="145">
    <w:nsid w:val="21FAA2FA"/>
    <w:multiLevelType w:val="hybridMultilevel"/>
    <w:lvl w:ilvl="0">
      <w:lvlJc w:val="left"/>
      <w:lvlText w:val="(%1)"/>
      <w:numFmt w:val="lowerLetter"/>
      <w:start w:val="1"/>
    </w:lvl>
  </w:abstractNum>
  <w:abstractNum w:abstractNumId="146">
    <w:nsid w:val="5451CF49"/>
    <w:multiLevelType w:val="hybridMultilevel"/>
    <w:lvl w:ilvl="0">
      <w:lvlJc w:val="left"/>
      <w:lvlText w:val="%1"/>
      <w:numFmt w:val="decimal"/>
      <w:start w:val="36"/>
    </w:lvl>
  </w:abstractNum>
  <w:abstractNum w:abstractNumId="147">
    <w:nsid w:val="6181EF69"/>
    <w:multiLevelType w:val="hybridMultilevel"/>
    <w:lvl w:ilvl="0">
      <w:lvlJc w:val="left"/>
      <w:lvlText w:val="%1"/>
      <w:numFmt w:val="decimal"/>
      <w:start w:val="35"/>
    </w:lvl>
  </w:abstractNum>
  <w:abstractNum w:abstractNumId="148">
    <w:nsid w:val="3E6400E6"/>
    <w:multiLevelType w:val="hybridMultilevel"/>
    <w:lvl w:ilvl="0">
      <w:lvlJc w:val="left"/>
      <w:lvlText w:val="%1"/>
      <w:numFmt w:val="decimal"/>
      <w:start w:val="36"/>
    </w:lvl>
  </w:abstractNum>
  <w:abstractNum w:abstractNumId="149">
    <w:nsid w:val="14217E23"/>
    <w:multiLevelType w:val="hybridMultilevel"/>
    <w:lvl w:ilvl="0">
      <w:lvlJc w:val="left"/>
      <w:lvlText w:val="(%1)"/>
      <w:numFmt w:val="lowerLetter"/>
      <w:start w:val="1"/>
    </w:lvl>
  </w:abstractNum>
  <w:abstractNum w:abstractNumId="150">
    <w:nsid w:val="710757D0"/>
    <w:multiLevelType w:val="hybridMultilevel"/>
    <w:lvl w:ilvl="0">
      <w:lvlJc w:val="left"/>
      <w:lvlText w:val="(%1)"/>
      <w:numFmt w:val="lowerLetter"/>
      <w:start w:val="11"/>
    </w:lvl>
    <w:lvl w:ilvl="1">
      <w:lvlJc w:val="left"/>
      <w:lvlText w:val="%2."/>
      <w:numFmt w:val="decimal"/>
      <w:start w:val="1"/>
    </w:lvl>
  </w:abstractNum>
  <w:abstractNum w:abstractNumId="151">
    <w:nsid w:val="5015CD1A"/>
    <w:multiLevelType w:val="hybridMultilevel"/>
    <w:lvl w:ilvl="0">
      <w:lvlJc w:val="left"/>
      <w:lvlText w:val="%1."/>
      <w:numFmt w:val="decimal"/>
      <w:start w:val="3"/>
    </w:lvl>
  </w:abstractNum>
  <w:abstractNum w:abstractNumId="152">
    <w:nsid w:val="424479DA"/>
    <w:multiLevelType w:val="hybridMultilevel"/>
    <w:lvl w:ilvl="0">
      <w:lvlJc w:val="left"/>
      <w:lvlText w:val="(%1)"/>
      <w:numFmt w:val="lowerLetter"/>
      <w:start w:val="14"/>
    </w:lvl>
  </w:abstractNum>
  <w:abstractNum w:abstractNumId="153">
    <w:nsid w:val="1A9A9E69"/>
    <w:multiLevelType w:val="hybridMultilevel"/>
    <w:lvl w:ilvl="0">
      <w:lvlJc w:val="left"/>
      <w:lvlText w:val="(%1)"/>
      <w:numFmt w:val="lowerLetter"/>
      <w:start w:val="23"/>
    </w:lvl>
  </w:abstractNum>
  <w:abstractNum w:abstractNumId="154">
    <w:nsid w:val="475E256A"/>
    <w:multiLevelType w:val="hybridMultilevel"/>
    <w:lvl w:ilvl="0">
      <w:lvlJc w:val="left"/>
      <w:lvlText w:val="(%1)"/>
      <w:numFmt w:val="lowerLetter"/>
      <w:start w:val="27"/>
    </w:lvl>
  </w:abstractNum>
  <w:abstractNum w:abstractNumId="155">
    <w:nsid w:val="368DB37E"/>
    <w:multiLevelType w:val="hybridMultilevel"/>
    <w:lvl w:ilvl="0">
      <w:lvlJc w:val="left"/>
      <w:lvlText w:val="(%1)"/>
      <w:numFmt w:val="lowerLetter"/>
      <w:start w:val="32"/>
    </w:lvl>
  </w:abstractNum>
  <w:abstractNum w:abstractNumId="156">
    <w:nsid w:val="6A3B714C"/>
    <w:multiLevelType w:val="hybridMultilevel"/>
    <w:lvl w:ilvl="0">
      <w:lvlJc w:val="left"/>
      <w:lvlText w:val="%1"/>
      <w:numFmt w:val="lowerLetter"/>
      <w:start w:val="1"/>
    </w:lvl>
    <w:lvl w:ilvl="1">
      <w:lvlJc w:val="left"/>
      <w:lvlText w:val="(%2)"/>
      <w:numFmt w:val="lowerRoman"/>
      <w:start w:val="15"/>
    </w:lvl>
  </w:abstractNum>
  <w:abstractNum w:abstractNumId="157">
    <w:nsid w:val="327B517E"/>
    <w:multiLevelType w:val="hybridMultilevel"/>
    <w:lvl w:ilvl="0">
      <w:lvlJc w:val="left"/>
      <w:lvlText w:val="(%1)"/>
      <w:numFmt w:val="lowerLetter"/>
      <w:start w:val="33"/>
    </w:lvl>
    <w:lvl w:ilvl="1">
      <w:lvlJc w:val="left"/>
      <w:lvlText w:val="%2"/>
      <w:numFmt w:val="lowerRoman"/>
      <w:start w:val="1"/>
    </w:lvl>
  </w:abstractNum>
  <w:abstractNum w:abstractNumId="158">
    <w:nsid w:val="1F461B51"/>
    <w:multiLevelType w:val="hybridMultilevel"/>
    <w:lvl w:ilvl="0">
      <w:lvlJc w:val="left"/>
      <w:lvlText w:val="(%1)"/>
      <w:numFmt w:val="lowerLetter"/>
      <w:start w:val="43"/>
    </w:lvl>
  </w:abstractNum>
  <w:abstractNum w:abstractNumId="159">
    <w:nsid w:val="29BACF25"/>
    <w:multiLevelType w:val="hybridMultilevel"/>
    <w:lvl w:ilvl="0">
      <w:lvlJc w:val="left"/>
      <w:lvlText w:val="(%1)"/>
      <w:numFmt w:val="lowerLetter"/>
      <w:start w:val="1"/>
    </w:lvl>
    <w:lvl w:ilvl="1">
      <w:lvlJc w:val="left"/>
      <w:lvlText w:val="%2."/>
      <w:numFmt w:val="decimal"/>
      <w:start w:val="1"/>
    </w:lvl>
  </w:abstractNum>
  <w:abstractNum w:abstractNumId="160">
    <w:nsid w:val="5D5BABB3"/>
    <w:multiLevelType w:val="hybridMultilevel"/>
    <w:lvl w:ilvl="0">
      <w:lvlJc w:val="left"/>
      <w:lvlText w:val="%1"/>
      <w:numFmt w:val="lowerLetter"/>
      <w:start w:val="1"/>
    </w:lvl>
    <w:lvl w:ilvl="1">
      <w:lvlJc w:val="left"/>
      <w:lvlText w:val="%2."/>
      <w:numFmt w:val="decimal"/>
      <w:start w:val="10"/>
    </w:lvl>
  </w:abstractNum>
  <w:abstractNum w:abstractNumId="161">
    <w:nsid w:val="51BF6B48"/>
    <w:multiLevelType w:val="hybridMultilevel"/>
    <w:lvl w:ilvl="0">
      <w:lvlJc w:val="left"/>
      <w:lvlText w:val="(%1)"/>
      <w:numFmt w:val="lowerLetter"/>
      <w:start w:val="3"/>
    </w:lvl>
    <w:lvl w:ilvl="1">
      <w:lvlJc w:val="left"/>
      <w:lvlText w:val="%2"/>
      <w:numFmt w:val="decimal"/>
      <w:start w:val="1"/>
    </w:lvl>
  </w:abstractNum>
  <w:abstractNum w:abstractNumId="162">
    <w:nsid w:val="7E0F6384"/>
    <w:multiLevelType w:val="hybridMultilevel"/>
    <w:lvl w:ilvl="0">
      <w:lvlJc w:val="left"/>
      <w:lvlText w:val="(%1)"/>
      <w:numFmt w:val="lowerLetter"/>
      <w:start w:val="1"/>
    </w:lvl>
  </w:abstractNum>
  <w:abstractNum w:abstractNumId="163">
    <w:nsid w:val="2B4B8B53"/>
    <w:multiLevelType w:val="hybridMultilevel"/>
    <w:lvl w:ilvl="0">
      <w:lvlJc w:val="left"/>
      <w:lvlText w:val="(%1)"/>
      <w:numFmt w:val="lowerLetter"/>
      <w:start w:val="3"/>
    </w:lvl>
  </w:abstractNum>
  <w:abstractNum w:abstractNumId="164">
    <w:nsid w:val="72E3413A"/>
    <w:multiLevelType w:val="hybridMultilevel"/>
    <w:lvl w:ilvl="0">
      <w:lvlJc w:val="left"/>
      <w:lvlText w:val="(%1)"/>
      <w:numFmt w:val="lowerLetter"/>
      <w:start w:val="1"/>
    </w:lvl>
  </w:abstractNum>
  <w:abstractNum w:abstractNumId="165">
    <w:nsid w:val="116AE494"/>
    <w:multiLevelType w:val="hybridMultilevel"/>
    <w:lvl w:ilvl="0">
      <w:lvlJc w:val="left"/>
      <w:lvlText w:val="(%1)"/>
      <w:numFmt w:val="lowerLetter"/>
      <w:start w:val="1"/>
    </w:lvl>
  </w:abstractNum>
  <w:abstractNum w:abstractNumId="166">
    <w:nsid w:val="3494B2FB"/>
    <w:multiLevelType w:val="hybridMultilevel"/>
    <w:lvl w:ilvl="0">
      <w:lvlJc w:val="left"/>
      <w:lvlText w:val="%1"/>
      <w:numFmt w:val="lowerLetter"/>
      <w:start w:val="1"/>
    </w:lvl>
    <w:lvl w:ilvl="1">
      <w:lvlJc w:val="left"/>
      <w:lvlText w:val="%2."/>
      <w:numFmt w:val="lowerRoman"/>
      <w:start w:val="1"/>
    </w:lvl>
  </w:abstractNum>
  <w:abstractNum w:abstractNumId="167">
    <w:nsid w:val="B13A31"/>
    <w:multiLevelType w:val="hybridMultilevel"/>
    <w:lvl w:ilvl="0">
      <w:lvlJc w:val="left"/>
      <w:lvlText w:val="(%1)"/>
      <w:numFmt w:val="lowerLetter"/>
      <w:start w:val="7"/>
    </w:lvl>
    <w:lvl w:ilvl="1">
      <w:lvlJc w:val="left"/>
      <w:lvlText w:val="%2"/>
      <w:numFmt w:val="lowerRoman"/>
      <w:start w:val="1"/>
    </w:lvl>
  </w:abstractNum>
  <w:abstractNum w:abstractNumId="168">
    <w:nsid w:val="64429599"/>
    <w:multiLevelType w:val="hybridMultilevel"/>
    <w:lvl w:ilvl="0">
      <w:lvlJc w:val="left"/>
      <w:lvlText w:val="(%1)"/>
      <w:numFmt w:val="lowerLetter"/>
      <w:start w:val="1"/>
    </w:lvl>
  </w:abstractNum>
  <w:abstractNum w:abstractNumId="169">
    <w:nsid w:val="631F1690"/>
    <w:multiLevelType w:val="hybridMultilevel"/>
    <w:lvl w:ilvl="0">
      <w:lvlJc w:val="left"/>
      <w:lvlText w:val="(%1)"/>
      <w:numFmt w:val="lowerLetter"/>
      <w:start w:val="2"/>
    </w:lvl>
    <w:lvl w:ilvl="1">
      <w:lvlJc w:val="left"/>
      <w:lvlText w:val="%2."/>
      <w:numFmt w:val="decimal"/>
      <w:start w:val="1"/>
    </w:lvl>
  </w:abstractNum>
  <w:abstractNum w:abstractNumId="170">
    <w:nsid w:val="25973E32"/>
    <w:multiLevelType w:val="hybridMultilevel"/>
    <w:lvl w:ilvl="0">
      <w:lvlJc w:val="left"/>
      <w:lvlText w:val="(%1)"/>
      <w:numFmt w:val="lowerLetter"/>
      <w:start w:val="6"/>
    </w:lvl>
    <w:lvl w:ilvl="1">
      <w:lvlJc w:val="left"/>
      <w:lvlText w:val="%2."/>
      <w:numFmt w:val="decimal"/>
      <w:start w:val="1"/>
    </w:lvl>
  </w:abstractNum>
  <w:abstractNum w:abstractNumId="171">
    <w:nsid w:val="EAD6F57"/>
    <w:multiLevelType w:val="hybridMultilevel"/>
    <w:lvl w:ilvl="0">
      <w:lvlJc w:val="left"/>
      <w:lvlText w:val="(%1)"/>
      <w:numFmt w:val="lowerLetter"/>
      <w:start w:val="1"/>
    </w:lvl>
    <w:lvl w:ilvl="1">
      <w:lvlJc w:val="left"/>
      <w:lvlText w:val="%2."/>
      <w:numFmt w:val="decimal"/>
      <w:start w:val="1"/>
    </w:lvl>
  </w:abstractNum>
  <w:abstractNum w:abstractNumId="172">
    <w:nsid w:val="6EC9D844"/>
    <w:multiLevelType w:val="hybridMultilevel"/>
    <w:lvl w:ilvl="0">
      <w:lvlJc w:val="left"/>
      <w:lvlText w:val="%1"/>
      <w:numFmt w:val="lowerLetter"/>
      <w:start w:val="1"/>
    </w:lvl>
    <w:lvl w:ilvl="1">
      <w:lvlJc w:val="left"/>
      <w:lvlText w:val="%2."/>
      <w:numFmt w:val="decimal"/>
      <w:start w:val="2"/>
    </w:lvl>
  </w:abstractNum>
  <w:abstractNum w:abstractNumId="173">
    <w:nsid w:val="5C49EAEE"/>
    <w:multiLevelType w:val="hybridMultilevel"/>
    <w:lvl w:ilvl="0">
      <w:lvlJc w:val="left"/>
      <w:lvlText w:val="(%1)"/>
      <w:numFmt w:val="lowerLetter"/>
      <w:start w:val="3"/>
    </w:lvl>
    <w:lvl w:ilvl="1">
      <w:lvlJc w:val="left"/>
      <w:lvlText w:val="%2."/>
      <w:numFmt w:val="decimal"/>
      <w:start w:val="1"/>
    </w:lvl>
  </w:abstractNum>
  <w:abstractNum w:abstractNumId="174">
    <w:nsid w:val="64AF49B"/>
    <w:multiLevelType w:val="hybridMultilevel"/>
    <w:lvl w:ilvl="0">
      <w:lvlJc w:val="left"/>
      <w:lvlText w:val="(%1)"/>
      <w:numFmt w:val="lowerLetter"/>
      <w:start w:val="4"/>
    </w:lvl>
  </w:abstractNum>
  <w:abstractNum w:abstractNumId="175">
    <w:nsid w:val="397C46BC"/>
    <w:multiLevelType w:val="hybridMultilevel"/>
    <w:lvl w:ilvl="0">
      <w:lvlJc w:val="left"/>
      <w:lvlText w:val="(%1)"/>
      <w:numFmt w:val="lowerLetter"/>
      <w:start w:val="1"/>
    </w:lvl>
  </w:abstractNum>
  <w:abstractNum w:abstractNumId="176">
    <w:nsid w:val="7E448DE9"/>
    <w:multiLevelType w:val="hybridMultilevel"/>
    <w:lvl w:ilvl="0">
      <w:lvlJc w:val="left"/>
      <w:lvlText w:val="(%1)"/>
      <w:numFmt w:val="lowerLetter"/>
      <w:start w:val="1"/>
    </w:lvl>
  </w:abstractNum>
  <w:abstractNum w:abstractNumId="177">
    <w:nsid w:val="5A9CC3E5"/>
    <w:multiLevelType w:val="hybridMultilevel"/>
    <w:lvl w:ilvl="0">
      <w:lvlJc w:val="left"/>
      <w:lvlText w:val="(%1)"/>
      <w:numFmt w:val="lowerLetter"/>
      <w:start w:val="2"/>
    </w:lvl>
  </w:abstractNum>
  <w:abstractNum w:abstractNumId="178">
    <w:nsid w:val="1AFE3625"/>
    <w:multiLevelType w:val="hybridMultilevel"/>
    <w:lvl w:ilvl="0">
      <w:lvlJc w:val="left"/>
      <w:lvlText w:val="(%1)"/>
      <w:numFmt w:val="lowerLetter"/>
      <w:start w:val="3"/>
    </w:lvl>
  </w:abstractNum>
  <w:abstractNum w:abstractNumId="179">
    <w:nsid w:val="3CA88ECF"/>
    <w:multiLevelType w:val="hybridMultilevel"/>
    <w:lvl w:ilvl="0">
      <w:lvlJc w:val="left"/>
      <w:lvlText w:val="(%1)"/>
      <w:numFmt w:val="lowerLetter"/>
      <w:start w:val="1"/>
    </w:lvl>
  </w:abstractNum>
  <w:abstractNum w:abstractNumId="180">
    <w:nsid w:val="6EBE4208"/>
    <w:multiLevelType w:val="hybridMultilevel"/>
    <w:lvl w:ilvl="0">
      <w:lvlJc w:val="left"/>
      <w:lvlText w:val="(%1)"/>
      <w:numFmt w:val="lowerLetter"/>
      <w:start w:val="2"/>
    </w:lvl>
  </w:abstractNum>
  <w:abstractNum w:abstractNumId="181">
    <w:nsid w:val="C058DF5"/>
    <w:multiLevelType w:val="hybridMultilevel"/>
    <w:lvl w:ilvl="0">
      <w:lvlJc w:val="left"/>
      <w:lvlText w:val="(%1)"/>
      <w:numFmt w:val="decimal"/>
      <w:start w:val="5"/>
    </w:lvl>
    <w:lvl w:ilvl="1">
      <w:lvlJc w:val="left"/>
      <w:lvlText w:val="(%2)"/>
      <w:numFmt w:val="lowerLetter"/>
      <w:start w:val="6"/>
    </w:lvl>
    <w:lvl w:ilvl="2">
      <w:lvlJc w:val="left"/>
      <w:lvlText w:val="(%3)"/>
      <w:numFmt w:val="lowerLetter"/>
      <w:start w:val="9"/>
    </w:lvl>
  </w:abstractNum>
  <w:abstractNum w:abstractNumId="182">
    <w:nsid w:val="CBE5BE9"/>
    <w:multiLevelType w:val="hybridMultilevel"/>
    <w:lvl w:ilvl="0">
      <w:lvlJc w:val="left"/>
      <w:lvlText w:val="%1"/>
      <w:numFmt w:val="lowerRoman"/>
      <w:start w:val="1"/>
    </w:lvl>
    <w:lvl w:ilvl="1">
      <w:lvlJc w:val="left"/>
      <w:lvlText w:val="(%2)"/>
      <w:numFmt w:val="lowerRoman"/>
      <w:start w:val="2"/>
    </w:lvl>
    <w:lvl w:ilvl="2">
      <w:lvlJc w:val="left"/>
      <w:lvlText w:val="(%3)"/>
      <w:numFmt w:val="lowerRoman"/>
    </w:lvl>
    <w:lvl w:ilvl="3">
      <w:lvlJc w:val="left"/>
      <w:lvlText w:val="(%4)"/>
      <w:numFmt w:val="lowerRoman"/>
      <w:start w:val="2"/>
    </w:lvl>
  </w:abstractNum>
  <w:abstractNum w:abstractNumId="183">
    <w:nsid w:val="3102BBE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84">
    <w:nsid w:val="26A02C5E"/>
    <w:multiLevelType w:val="hybridMultilevel"/>
    <w:lvl w:ilvl="0">
      <w:lvlJc w:val="left"/>
      <w:lvlText w:val="(%1)"/>
      <w:numFmt w:val="lowerLetter"/>
      <w:start w:val="1"/>
    </w:lvl>
    <w:lvl w:ilvl="1">
      <w:lvlJc w:val="left"/>
      <w:lvlText w:val="(%2)"/>
      <w:numFmt w:val="lowerRoman"/>
      <w:start w:val="1"/>
    </w:lvl>
  </w:abstractNum>
  <w:abstractNum w:abstractNumId="185">
    <w:nsid w:val="541C8153"/>
    <w:multiLevelType w:val="hybridMultilevel"/>
    <w:lvl w:ilvl="0">
      <w:lvlJc w:val="left"/>
      <w:lvlText w:val="(%1)"/>
      <w:numFmt w:val="lowerRoman"/>
      <w:start w:val="4"/>
    </w:lvl>
  </w:abstractNum>
  <w:abstractNum w:abstractNumId="186">
    <w:nsid w:val="67906F60"/>
    <w:multiLevelType w:val="hybridMultilevel"/>
    <w:lvl w:ilvl="0">
      <w:lvlJc w:val="left"/>
      <w:lvlText w:val="%1"/>
      <w:numFmt w:val="lowerRoman"/>
      <w:start w:val="1"/>
    </w:lvl>
    <w:lvl w:ilvl="1">
      <w:lvlJc w:val="left"/>
      <w:lvlText w:val="(%2)"/>
      <w:numFmt w:val="lowerRoman"/>
      <w:start w:val="9"/>
    </w:lvl>
  </w:abstractNum>
  <w:abstractNum w:abstractNumId="187">
    <w:nsid w:val="10DB9DAA"/>
    <w:multiLevelType w:val="hybridMultilevel"/>
    <w:lvl w:ilvl="0">
      <w:lvlJc w:val="left"/>
      <w:lvlText w:val="(%1)"/>
      <w:numFmt w:val="lowerRoman"/>
      <w:start w:val="5"/>
    </w:lvl>
    <w:lvl w:ilvl="1">
      <w:lvlJc w:val="left"/>
      <w:lvlText w:val="(%2)"/>
      <w:numFmt w:val="lowerRoman"/>
      <w:start w:val="10"/>
    </w:lvl>
  </w:abstractNum>
  <w:abstractNum w:abstractNumId="188">
    <w:nsid w:val="697D2D2"/>
    <w:multiLevelType w:val="hybridMultilevel"/>
    <w:lvl w:ilvl="0">
      <w:lvlJc w:val="left"/>
      <w:lvlText w:val="%1"/>
      <w:numFmt w:val="lowerLetter"/>
      <w:start w:val="1"/>
    </w:lvl>
    <w:lvl w:ilvl="1">
      <w:lvlJc w:val="left"/>
      <w:lvlText w:val="(%2)"/>
      <w:numFmt w:val="lowerRoman"/>
      <w:start w:val="12"/>
    </w:lvl>
  </w:abstractNum>
  <w:abstractNum w:abstractNumId="189">
    <w:nsid w:val="6D68AB2"/>
    <w:multiLevelType w:val="hybridMultilevel"/>
    <w:lvl w:ilvl="0">
      <w:lvlJc w:val="left"/>
      <w:lvlText w:val="(%1)"/>
      <w:numFmt w:val="lowerLetter"/>
      <w:start w:val="2"/>
    </w:lvl>
    <w:lvl w:ilvl="1">
      <w:lvlJc w:val="left"/>
      <w:lvlText w:val="(%2)"/>
      <w:numFmt w:val="lowerRoman"/>
      <w:start w:val="16"/>
    </w:lvl>
  </w:abstractNum>
  <w:abstractNum w:abstractNumId="190">
    <w:nsid w:val="3A966CD0"/>
    <w:multiLevelType w:val="hybridMultilevel"/>
    <w:lvl w:ilvl="0">
      <w:lvlJc w:val="left"/>
      <w:lvlText w:val="(%1)"/>
      <w:numFmt w:val="lowerLetter"/>
      <w:start w:val="2"/>
    </w:lvl>
  </w:abstractNum>
  <w:abstractNum w:abstractNumId="191">
    <w:nsid w:val="63F37E85"/>
    <w:multiLevelType w:val="hybridMultilevel"/>
    <w:lvl w:ilvl="0">
      <w:lvlJc w:val="left"/>
      <w:lvlText w:val="(%1)"/>
      <w:numFmt w:val="lowerRoman"/>
      <w:start w:val="2"/>
    </w:lvl>
  </w:abstractNum>
  <w:abstractNum w:abstractNumId="192">
    <w:nsid w:val="5895F5FA"/>
    <w:multiLevelType w:val="hybridMultilevel"/>
    <w:lvl w:ilvl="0">
      <w:lvlJc w:val="left"/>
      <w:lvlText w:val="(%1)"/>
      <w:numFmt w:val="lowerLetter"/>
      <w:start w:val="1"/>
    </w:lvl>
  </w:abstractNum>
  <w:abstractNum w:abstractNumId="193">
    <w:nsid w:val="38A5D054"/>
    <w:multiLevelType w:val="hybridMultilevel"/>
    <w:lvl w:ilvl="0">
      <w:lvlJc w:val="left"/>
      <w:lvlText w:val="%1"/>
      <w:numFmt w:val="lowerLetter"/>
      <w:start w:val="1"/>
    </w:lvl>
    <w:lvl w:ilvl="1">
      <w:lvlJc w:val="left"/>
      <w:lvlText w:val="(%2)"/>
      <w:numFmt w:val="lowerLetter"/>
      <w:start w:val="2"/>
    </w:lvl>
  </w:abstractNum>
  <w:abstractNum w:abstractNumId="194">
    <w:nsid w:val="F3F09D8"/>
    <w:multiLevelType w:val="hybridMultilevel"/>
    <w:lvl w:ilvl="0">
      <w:lvlJc w:val="left"/>
      <w:lvlText w:val="(%1)"/>
      <w:numFmt w:val="lowerLetter"/>
      <w:start w:val="9"/>
    </w:lvl>
    <w:lvl w:ilvl="1">
      <w:lvlJc w:val="left"/>
      <w:lvlText w:val="%2"/>
      <w:numFmt w:val="lowerLetter"/>
      <w:start w:val="1"/>
    </w:lvl>
  </w:abstractNum>
  <w:abstractNum w:abstractNumId="195">
    <w:nsid w:val="4B793735"/>
    <w:multiLevelType w:val="hybridMultilevel"/>
    <w:lvl w:ilvl="0">
      <w:lvlJc w:val="left"/>
      <w:lvlText w:val="%1"/>
      <w:numFmt w:val="upperLetter"/>
      <w:start w:val="1"/>
    </w:lvl>
    <w:lvl w:ilvl="1">
      <w:lvlJc w:val="left"/>
      <w:lvlText w:val="(%2)"/>
      <w:numFmt w:val="lowerLetter"/>
      <w:start w:val="3"/>
    </w:lvl>
  </w:abstractNum>
  <w:abstractNum w:abstractNumId="196">
    <w:nsid w:val="4A10B4E8"/>
    <w:multiLevelType w:val="hybridMultilevel"/>
    <w:lvl w:ilvl="0">
      <w:lvlJc w:val="left"/>
      <w:lvlText w:val="(%1)"/>
      <w:numFmt w:val="upperLetter"/>
      <w:start w:val="2"/>
    </w:lvl>
    <w:lvl w:ilvl="1">
      <w:lvlJc w:val="left"/>
      <w:lvlText w:val="%2"/>
      <w:numFmt w:val="lowerLetter"/>
      <w:start w:val="1"/>
    </w:lvl>
  </w:abstractNum>
  <w:abstractNum w:abstractNumId="197">
    <w:nsid w:val="43D3BCD4"/>
    <w:multiLevelType w:val="hybridMultilevel"/>
    <w:lvl w:ilvl="0">
      <w:lvlJc w:val="left"/>
      <w:lvlText w:val="(%1)"/>
      <w:numFmt w:val="lowerLetter"/>
      <w:start w:val="4"/>
    </w:lvl>
  </w:abstractNum>
  <w:abstractNum w:abstractNumId="198">
    <w:nsid w:val="4C2A7166"/>
    <w:multiLevelType w:val="hybridMultilevel"/>
    <w:lvl w:ilvl="0">
      <w:lvlJc w:val="left"/>
      <w:lvlText w:val="(%1)"/>
      <w:numFmt w:val="lowerLetter"/>
      <w:start w:val="1"/>
    </w:lvl>
  </w:abstractNum>
  <w:abstractNum w:abstractNumId="199">
    <w:nsid w:val="2E534A82"/>
    <w:multiLevelType w:val="hybridMultilevel"/>
    <w:lvl w:ilvl="0">
      <w:lvlJc w:val="left"/>
      <w:lvlText w:val="("/>
      <w:numFmt w:val="bullet"/>
      <w:start w:val="1"/>
    </w:lvl>
  </w:abstractNum>
  <w:abstractNum w:abstractNumId="200">
    <w:nsid w:val="26F2D364"/>
    <w:multiLevelType w:val="hybridMultilevel"/>
    <w:lvl w:ilvl="0">
      <w:lvlJc w:val="left"/>
      <w:lvlText w:val="(%1)"/>
      <w:numFmt w:val="lowerLetter"/>
      <w:start w:val="3"/>
    </w:lvl>
  </w:abstractNum>
  <w:abstractNum w:abstractNumId="201">
    <w:nsid w:val="71C1AF98"/>
    <w:multiLevelType w:val="hybridMultilevel"/>
    <w:lvl w:ilvl="0">
      <w:lvlJc w:val="left"/>
      <w:lvlText w:val="(%1)"/>
      <w:numFmt w:val="lowerLetter"/>
      <w:start w:val="9"/>
    </w:lvl>
  </w:abstractNum>
  <w:abstractNum w:abstractNumId="202">
    <w:nsid w:val="3D00B9D9"/>
    <w:multiLevelType w:val="hybridMultilevel"/>
    <w:lvl w:ilvl="0">
      <w:lvlJc w:val="left"/>
      <w:lvlText w:val="%1."/>
      <w:numFmt w:val="decimal"/>
      <w:start w:val="1"/>
    </w:lvl>
    <w:lvl w:ilvl="1">
      <w:lvlJc w:val="left"/>
      <w:lvlText w:val="%2."/>
      <w:numFmt w:val="lowerLetter"/>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02"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193" Type="http://schemas.openxmlformats.org/officeDocument/2006/relationships/hyperlink" Target="https://www.sec.gov/Archives/edgar/data/1823529/000182352921000008/a32enactholdingsincbylaws.htm" TargetMode="External"/><Relationship Id="rId194" Type="http://schemas.openxmlformats.org/officeDocument/2006/relationships/hyperlink" Target="https://www.sec.gov/Archives/edgar/data/0001276520/000119312520229113/d61999dex41.htm" TargetMode="External"/><Relationship Id="rId195" Type="http://schemas.openxmlformats.org/officeDocument/2006/relationships/hyperlink" Target="https://www.sec.gov/Archives/edgar/data/0001276520/000119312520229113/d61999dex42.htm" TargetMode="External"/><Relationship Id="rId196" Type="http://schemas.openxmlformats.org/officeDocument/2006/relationships/hyperlink" Target="https://www.sec.gov/Archives/edgar/data/1823529/000182352921000008/a1012021-09x15masteragreem.htm" TargetMode="External"/><Relationship Id="rId197" Type="http://schemas.openxmlformats.org/officeDocument/2006/relationships/hyperlink" Target="https://www.sec.gov/Archives/edgar/data/0001823529/000162828021018423/exhibit102-sx1a4.htm" TargetMode="External"/><Relationship Id="rId198" Type="http://schemas.openxmlformats.org/officeDocument/2006/relationships/hyperlink" Target="https://www.sec.gov/Archives/edgar/data/1823529/000182352921000008/a102registrationrightsagre.htm" TargetMode="External"/><Relationship Id="rId199" Type="http://schemas.openxmlformats.org/officeDocument/2006/relationships/hyperlink" Target="https://www.sec.gov/Archives/edgar/data/1823529/000162828021007627/exhibit106-gmhisx1exhibits.htm" TargetMode="External"/><Relationship Id="rId200" Type="http://schemas.openxmlformats.org/officeDocument/2006/relationships/hyperlink" Target="https://www.sec.gov/Archives/edgar/data/1823529/000162828021007627/exhibit107-gmhisx1exhibits.htm" TargetMode="External"/><Relationship Id="rId201" Type="http://schemas.openxmlformats.org/officeDocument/2006/relationships/hyperlink" Target="https://www.sec.gov/Archives/edgar/data/1823529/000162828021007627/exhibit108-gmhisx1exhibits.htm" TargetMode="External"/><Relationship Id="rId203" Type="http://schemas.openxmlformats.org/officeDocument/2006/relationships/hyperlink" Target="https://www.sec.gov/Archives/edgar/data/1823529/000162828021007627/exhibit109-gmhisx1exhibits.htm" TargetMode="External"/><Relationship Id="rId204" Type="http://schemas.openxmlformats.org/officeDocument/2006/relationships/hyperlink" Target="https://www.sec.gov/Archives/edgar/data/1823529/000162828021007627/exhibit1010-gmhisx1exhibit.htm" TargetMode="External"/><Relationship Id="rId205" Type="http://schemas.openxmlformats.org/officeDocument/2006/relationships/hyperlink" Target="https://www.sec.gov/Archives/edgar/data/1823529/000162828021007627/exhibit1011-gmhisx1exhibit.htm" TargetMode="External"/><Relationship Id="rId206" Type="http://schemas.openxmlformats.org/officeDocument/2006/relationships/hyperlink" Target="https://www.sec.gov/Archives/edgar/data/1823529/000162828021007627/exhibit1012-gmhisx1xexhibi.htm" TargetMode="External"/><Relationship Id="rId207" Type="http://schemas.openxmlformats.org/officeDocument/2006/relationships/hyperlink" Target="https://www.sec.gov/Archives/edgar/data/1823529/000162828021007627/exhibit1013-gmhisx1exhibit.htm" TargetMode="External"/><Relationship Id="rId208" Type="http://schemas.openxmlformats.org/officeDocument/2006/relationships/hyperlink" Target="https://www.sec.gov/Archives/edgar/data/1823529/000162828021007627/exhibit1014gmhis-1exhibits.htm" TargetMode="External"/><Relationship Id="rId209" Type="http://schemas.openxmlformats.org/officeDocument/2006/relationships/hyperlink" Target="https://www.sec.gov/Archives/edgar/data/1823529/000162828021007627/exhibit1015-gmhisx1exhibit.htm" TargetMode="External"/><Relationship Id="rId210" Type="http://schemas.openxmlformats.org/officeDocument/2006/relationships/hyperlink" Target="https://www.sec.gov/Archives/edgar/data/0001276520/000119312519208987/d752135dex106.htm" TargetMode="External"/><Relationship Id="rId211" Type="http://schemas.openxmlformats.org/officeDocument/2006/relationships/hyperlink" Target="https://www.sec.gov/Archives/edgar/data/0001276520/000119312519208987/d752135dex105.htm" TargetMode="External"/><Relationship Id="rId212" Type="http://schemas.openxmlformats.org/officeDocument/2006/relationships/hyperlink" Target="https://www.sec.gov/Archives/edgar/data/1276520/000119312516482185/d52855dex1048.htm" TargetMode="External"/><Relationship Id="rId213" Type="http://schemas.openxmlformats.org/officeDocument/2006/relationships/hyperlink" Target="https://www.sec.gov/Archives/edgar/data/1276520/000119312516482185/d52855dex1047.htm" TargetMode="External"/><Relationship Id="rId214" Type="http://schemas.openxmlformats.org/officeDocument/2006/relationships/hyperlink" Target="https://www.sec.gov/Archives/edgar/data/1823529/000162828021018423/exhibit1020-sx1a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2022-02-28T05:53:46Z</dcterms:created>
  <dcterms:modified xsi:type="dcterms:W3CDTF">2022-02-28T05:53:46Z</dcterms:modified>
</cp:coreProperties>
</file>